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pStyle w:val="BodyText"/>
        <w:ind w:left="2366"/>
        <w:rPr>
          <w:rFonts w:ascii="Times New Roman"/>
          <w:sz w:val="20"/>
        </w:rPr>
      </w:pPr>
      <w:r>
        <w:rPr>
          <w:rFonts w:ascii="Times New Roman"/>
          <w:sz w:val="20"/>
        </w:rPr>
        <w:drawing>
          <wp:inline distT="0" distB="0" distL="0" distR="0">
            <wp:extent cx="2997552" cy="296122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997552" cy="2961227"/>
                    </a:xfrm>
                    <a:prstGeom prst="rect">
                      <a:avLst/>
                    </a:prstGeom>
                  </pic:spPr>
                </pic:pic>
              </a:graphicData>
            </a:graphic>
          </wp:inline>
        </w:drawing>
      </w:r>
      <w:r>
        <w:rPr>
          <w:rFonts w:ascii="Times New Roman"/>
          <w:sz w:val="20"/>
        </w:rPr>
      </w:r>
    </w:p>
    <w:p>
      <w:pPr>
        <w:pStyle w:val="BodyText"/>
        <w:spacing w:before="6"/>
        <w:rPr>
          <w:rFonts w:ascii="Times New Roman"/>
        </w:rPr>
      </w:pPr>
    </w:p>
    <w:p>
      <w:pPr>
        <w:pStyle w:val="Heading5"/>
        <w:spacing w:line="322" w:lineRule="exact" w:before="91"/>
        <w:ind w:left="804" w:right="805"/>
        <w:jc w:val="center"/>
        <w:rPr>
          <w:rFonts w:ascii="Arial"/>
        </w:rPr>
      </w:pPr>
      <w:r>
        <w:rPr>
          <w:rFonts w:ascii="Arial"/>
        </w:rPr>
        <w:t>Enabling Catholic primary schools to fulfil</w:t>
      </w:r>
    </w:p>
    <w:p>
      <w:pPr>
        <w:pStyle w:val="Heading5"/>
        <w:ind w:left="805" w:right="805"/>
        <w:jc w:val="center"/>
        <w:rPr>
          <w:rFonts w:ascii="Arial"/>
        </w:rPr>
      </w:pPr>
      <w:r>
        <w:rPr>
          <w:rFonts w:ascii="Arial"/>
        </w:rPr>
        <w:t>the new statutory Relationships Education curriculum</w:t>
      </w:r>
    </w:p>
    <w:p>
      <w:pPr>
        <w:spacing w:after="0"/>
        <w:jc w:val="center"/>
        <w:rPr>
          <w:rFonts w:ascii="Arial"/>
        </w:rPr>
        <w:sectPr>
          <w:headerReference w:type="default" r:id="rId5"/>
          <w:footerReference w:type="default" r:id="rId6"/>
          <w:type w:val="continuous"/>
          <w:pgSz w:w="11910" w:h="16840"/>
          <w:pgMar w:header="715" w:footer="1445" w:top="1320" w:bottom="1640" w:left="1200" w:right="1200"/>
          <w:pgNumType w:start="1"/>
        </w:sectPr>
      </w:pPr>
    </w:p>
    <w:p>
      <w:pPr>
        <w:pStyle w:val="BodyText"/>
        <w:rPr>
          <w:sz w:val="20"/>
        </w:rPr>
      </w:pPr>
    </w:p>
    <w:p>
      <w:pPr>
        <w:pStyle w:val="BodyText"/>
        <w:rPr>
          <w:sz w:val="20"/>
        </w:rPr>
      </w:pPr>
    </w:p>
    <w:p>
      <w:pPr>
        <w:pStyle w:val="BodyText"/>
        <w:spacing w:before="11"/>
        <w:rPr>
          <w:sz w:val="29"/>
        </w:rPr>
      </w:pPr>
    </w:p>
    <w:p>
      <w:pPr>
        <w:spacing w:line="1088" w:lineRule="exact" w:before="0"/>
        <w:ind w:left="240" w:right="0" w:firstLine="0"/>
        <w:jc w:val="left"/>
        <w:rPr>
          <w:sz w:val="96"/>
        </w:rPr>
      </w:pPr>
      <w:r>
        <w:rPr>
          <w:color w:val="FF8024"/>
          <w:w w:val="70"/>
          <w:sz w:val="96"/>
        </w:rPr>
        <w:t>This Document</w:t>
      </w:r>
    </w:p>
    <w:p>
      <w:pPr>
        <w:pStyle w:val="BodyText"/>
        <w:spacing w:line="259" w:lineRule="auto" w:before="428"/>
        <w:ind w:left="240" w:right="352"/>
      </w:pPr>
      <w:r>
        <w:rPr/>
        <w:t>From September 2020, ‘Relationships Education’ will become a statutory subject for all primary schools and ‘Relationships and Sex Education’ will become a statutory subject for all secondary schools in England.</w:t>
      </w:r>
    </w:p>
    <w:p>
      <w:pPr>
        <w:pStyle w:val="BodyText"/>
        <w:spacing w:before="9"/>
        <w:rPr>
          <w:sz w:val="25"/>
        </w:rPr>
      </w:pPr>
    </w:p>
    <w:p>
      <w:pPr>
        <w:pStyle w:val="BodyText"/>
        <w:spacing w:line="259" w:lineRule="auto"/>
        <w:ind w:left="240" w:right="458"/>
      </w:pPr>
      <w:r>
        <w:rPr/>
        <w:t>A draft statutory guidance for governing bodies, head teachers, principals, senior leadership teams and teachers was published in February 2019 by the Department for Education. For Catholic schools, this new curriculum provides challenges and opportunities.</w:t>
      </w:r>
    </w:p>
    <w:p>
      <w:pPr>
        <w:pStyle w:val="BodyText"/>
        <w:spacing w:before="9"/>
        <w:rPr>
          <w:sz w:val="25"/>
        </w:rPr>
      </w:pPr>
    </w:p>
    <w:p>
      <w:pPr>
        <w:pStyle w:val="BodyText"/>
        <w:spacing w:line="259" w:lineRule="auto"/>
        <w:ind w:left="240" w:right="259"/>
      </w:pPr>
      <w:r>
        <w:rPr/>
        <w:t>Ten Ten is an independent Catholic educational organisation that has been working at the forefront of delivering RSE in Catholic primary and secondary schools since 2007. For the past 2 years, we have been working in partnership with dioceses and schools throughout the UK to develop an integrated programme in Relationship Education for Catholic primary schools and Relationship and Sex Education for Catholic secondary schools called “Life to the Full”. Our mission is to enable Catholic schools to deliver an RSE programme that truly enables their students to live “life to the full” (John 10:10).</w:t>
      </w:r>
    </w:p>
    <w:p>
      <w:pPr>
        <w:pStyle w:val="BodyText"/>
        <w:spacing w:before="9"/>
        <w:rPr>
          <w:sz w:val="25"/>
        </w:rPr>
      </w:pPr>
    </w:p>
    <w:p>
      <w:pPr>
        <w:pStyle w:val="BodyText"/>
        <w:ind w:left="240"/>
      </w:pPr>
      <w:r>
        <w:rPr/>
        <w:t>In this document, we aim to give you:</w:t>
      </w:r>
    </w:p>
    <w:p>
      <w:pPr>
        <w:pStyle w:val="BodyText"/>
        <w:spacing w:before="9"/>
        <w:rPr>
          <w:sz w:val="27"/>
        </w:rPr>
      </w:pPr>
    </w:p>
    <w:p>
      <w:pPr>
        <w:pStyle w:val="ListParagraph"/>
        <w:numPr>
          <w:ilvl w:val="0"/>
          <w:numId w:val="1"/>
        </w:numPr>
        <w:tabs>
          <w:tab w:pos="959" w:val="left" w:leader="none"/>
          <w:tab w:pos="960" w:val="left" w:leader="none"/>
        </w:tabs>
        <w:spacing w:line="240" w:lineRule="auto" w:before="0" w:after="0"/>
        <w:ind w:left="960" w:right="0" w:hanging="360"/>
        <w:jc w:val="left"/>
        <w:rPr>
          <w:sz w:val="24"/>
        </w:rPr>
      </w:pPr>
      <w:r>
        <w:rPr>
          <w:sz w:val="24"/>
        </w:rPr>
        <w:t>A summary of some the key features of the new statutory</w:t>
      </w:r>
      <w:r>
        <w:rPr>
          <w:spacing w:val="-13"/>
          <w:sz w:val="24"/>
        </w:rPr>
        <w:t> </w:t>
      </w:r>
      <w:r>
        <w:rPr>
          <w:sz w:val="24"/>
        </w:rPr>
        <w:t>curriculum;</w:t>
      </w:r>
    </w:p>
    <w:p>
      <w:pPr>
        <w:pStyle w:val="ListParagraph"/>
        <w:numPr>
          <w:ilvl w:val="0"/>
          <w:numId w:val="1"/>
        </w:numPr>
        <w:tabs>
          <w:tab w:pos="959" w:val="left" w:leader="none"/>
          <w:tab w:pos="960" w:val="left" w:leader="none"/>
        </w:tabs>
        <w:spacing w:line="240" w:lineRule="auto" w:before="21" w:after="0"/>
        <w:ind w:left="960" w:right="0" w:hanging="360"/>
        <w:jc w:val="left"/>
        <w:rPr>
          <w:sz w:val="24"/>
        </w:rPr>
      </w:pPr>
      <w:r>
        <w:rPr>
          <w:sz w:val="24"/>
        </w:rPr>
        <w:t>A summary of the Church’s guidance for schools on delivering</w:t>
      </w:r>
      <w:r>
        <w:rPr>
          <w:spacing w:val="-12"/>
          <w:sz w:val="24"/>
        </w:rPr>
        <w:t> </w:t>
      </w:r>
      <w:r>
        <w:rPr>
          <w:sz w:val="24"/>
        </w:rPr>
        <w:t>RSE;</w:t>
      </w:r>
    </w:p>
    <w:p>
      <w:pPr>
        <w:pStyle w:val="ListParagraph"/>
        <w:numPr>
          <w:ilvl w:val="0"/>
          <w:numId w:val="1"/>
        </w:numPr>
        <w:tabs>
          <w:tab w:pos="959" w:val="left" w:leader="none"/>
          <w:tab w:pos="960" w:val="left" w:leader="none"/>
        </w:tabs>
        <w:spacing w:line="240" w:lineRule="auto" w:before="20" w:after="0"/>
        <w:ind w:left="960" w:right="0" w:hanging="360"/>
        <w:jc w:val="left"/>
        <w:rPr>
          <w:sz w:val="24"/>
        </w:rPr>
      </w:pPr>
      <w:r>
        <w:rPr>
          <w:sz w:val="24"/>
        </w:rPr>
        <w:t>10 Principles for a Catholic RSE</w:t>
      </w:r>
      <w:r>
        <w:rPr>
          <w:spacing w:val="-3"/>
          <w:sz w:val="24"/>
        </w:rPr>
        <w:t> </w:t>
      </w:r>
      <w:r>
        <w:rPr>
          <w:sz w:val="24"/>
        </w:rPr>
        <w:t>Programme;</w:t>
      </w:r>
    </w:p>
    <w:p>
      <w:pPr>
        <w:pStyle w:val="ListParagraph"/>
        <w:numPr>
          <w:ilvl w:val="0"/>
          <w:numId w:val="1"/>
        </w:numPr>
        <w:tabs>
          <w:tab w:pos="959" w:val="left" w:leader="none"/>
          <w:tab w:pos="960" w:val="left" w:leader="none"/>
        </w:tabs>
        <w:spacing w:line="256" w:lineRule="auto" w:before="19" w:after="0"/>
        <w:ind w:left="960" w:right="273" w:hanging="360"/>
        <w:jc w:val="left"/>
        <w:rPr>
          <w:sz w:val="24"/>
        </w:rPr>
      </w:pPr>
      <w:r>
        <w:rPr>
          <w:sz w:val="24"/>
        </w:rPr>
        <w:t>An overview of Ten Ten’s programme, “Life to the Full”, and how it can enable your school to deliver an RSE programme that is</w:t>
      </w:r>
      <w:r>
        <w:rPr>
          <w:spacing w:val="-8"/>
          <w:sz w:val="24"/>
        </w:rPr>
        <w:t> </w:t>
      </w:r>
      <w:r>
        <w:rPr>
          <w:sz w:val="24"/>
        </w:rPr>
        <w:t>fit-for-purpose;</w:t>
      </w:r>
    </w:p>
    <w:p>
      <w:pPr>
        <w:pStyle w:val="ListParagraph"/>
        <w:numPr>
          <w:ilvl w:val="0"/>
          <w:numId w:val="1"/>
        </w:numPr>
        <w:tabs>
          <w:tab w:pos="959" w:val="left" w:leader="none"/>
          <w:tab w:pos="960" w:val="left" w:leader="none"/>
        </w:tabs>
        <w:spacing w:line="240" w:lineRule="auto" w:before="3" w:after="0"/>
        <w:ind w:left="960" w:right="0" w:hanging="360"/>
        <w:jc w:val="left"/>
        <w:rPr>
          <w:sz w:val="24"/>
        </w:rPr>
      </w:pPr>
      <w:r>
        <w:rPr>
          <w:sz w:val="24"/>
        </w:rPr>
        <w:t>A summary of Ten Ten’s fee structure for the academic year</w:t>
      </w:r>
      <w:r>
        <w:rPr>
          <w:spacing w:val="-15"/>
          <w:sz w:val="24"/>
        </w:rPr>
        <w:t> </w:t>
      </w:r>
      <w:r>
        <w:rPr>
          <w:sz w:val="24"/>
        </w:rPr>
        <w:t>2019-20.</w:t>
      </w:r>
    </w:p>
    <w:p>
      <w:pPr>
        <w:pStyle w:val="BodyText"/>
        <w:spacing w:before="6"/>
        <w:rPr>
          <w:sz w:val="27"/>
        </w:rPr>
      </w:pPr>
    </w:p>
    <w:p>
      <w:pPr>
        <w:pStyle w:val="BodyText"/>
        <w:ind w:left="240"/>
      </w:pPr>
      <w:r>
        <w:rPr/>
        <w:t>We also provide, in the Appendix, the following documents:</w:t>
      </w:r>
    </w:p>
    <w:p>
      <w:pPr>
        <w:pStyle w:val="BodyText"/>
        <w:spacing w:before="10"/>
        <w:rPr>
          <w:sz w:val="27"/>
        </w:rPr>
      </w:pPr>
    </w:p>
    <w:p>
      <w:pPr>
        <w:pStyle w:val="ListParagraph"/>
        <w:numPr>
          <w:ilvl w:val="0"/>
          <w:numId w:val="1"/>
        </w:numPr>
        <w:tabs>
          <w:tab w:pos="959" w:val="left" w:leader="none"/>
          <w:tab w:pos="960" w:val="left" w:leader="none"/>
        </w:tabs>
        <w:spacing w:line="240" w:lineRule="auto" w:before="0" w:after="0"/>
        <w:ind w:left="960" w:right="0" w:hanging="360"/>
        <w:jc w:val="left"/>
        <w:rPr>
          <w:sz w:val="24"/>
        </w:rPr>
      </w:pPr>
      <w:r>
        <w:rPr>
          <w:sz w:val="24"/>
        </w:rPr>
        <w:t>The Department of Education’s draft statutory</w:t>
      </w:r>
      <w:r>
        <w:rPr>
          <w:spacing w:val="-4"/>
          <w:sz w:val="24"/>
        </w:rPr>
        <w:t> </w:t>
      </w:r>
      <w:r>
        <w:rPr>
          <w:sz w:val="24"/>
        </w:rPr>
        <w:t>guidance</w:t>
      </w:r>
    </w:p>
    <w:p>
      <w:pPr>
        <w:pStyle w:val="ListParagraph"/>
        <w:numPr>
          <w:ilvl w:val="0"/>
          <w:numId w:val="1"/>
        </w:numPr>
        <w:tabs>
          <w:tab w:pos="959" w:val="left" w:leader="none"/>
          <w:tab w:pos="960" w:val="left" w:leader="none"/>
        </w:tabs>
        <w:spacing w:line="256" w:lineRule="auto" w:before="20" w:after="0"/>
        <w:ind w:left="960" w:right="1181" w:hanging="360"/>
        <w:jc w:val="left"/>
        <w:rPr>
          <w:sz w:val="24"/>
        </w:rPr>
      </w:pPr>
      <w:r>
        <w:rPr>
          <w:sz w:val="24"/>
        </w:rPr>
        <w:t>A Model Catholic Secondary RSE Curriculum (the Catholic Education Service)</w:t>
      </w:r>
    </w:p>
    <w:p>
      <w:pPr>
        <w:pStyle w:val="ListParagraph"/>
        <w:numPr>
          <w:ilvl w:val="0"/>
          <w:numId w:val="1"/>
        </w:numPr>
        <w:tabs>
          <w:tab w:pos="959" w:val="left" w:leader="none"/>
          <w:tab w:pos="960" w:val="left" w:leader="none"/>
        </w:tabs>
        <w:spacing w:line="256" w:lineRule="auto" w:before="2" w:after="0"/>
        <w:ind w:left="960" w:right="885" w:hanging="360"/>
        <w:jc w:val="left"/>
        <w:rPr>
          <w:sz w:val="24"/>
        </w:rPr>
      </w:pPr>
      <w:r>
        <w:rPr>
          <w:sz w:val="24"/>
        </w:rPr>
        <w:t>“Learning to Love”, a teaching document for Catholic educators from the Bishops’ Conference in England and</w:t>
      </w:r>
      <w:r>
        <w:rPr>
          <w:spacing w:val="-3"/>
          <w:sz w:val="24"/>
        </w:rPr>
        <w:t> </w:t>
      </w:r>
      <w:r>
        <w:rPr>
          <w:sz w:val="24"/>
        </w:rPr>
        <w:t>Wales.</w:t>
      </w:r>
    </w:p>
    <w:p>
      <w:pPr>
        <w:spacing w:after="0" w:line="256" w:lineRule="auto"/>
        <w:jc w:val="left"/>
        <w:rPr>
          <w:sz w:val="24"/>
        </w:rPr>
        <w:sectPr>
          <w:pgSz w:w="11910" w:h="16840"/>
          <w:pgMar w:header="715" w:footer="1445" w:top="1320" w:bottom="164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4"/>
        <w:ind w:left="240" w:right="0" w:firstLine="0"/>
        <w:jc w:val="left"/>
        <w:rPr>
          <w:sz w:val="96"/>
        </w:rPr>
      </w:pPr>
      <w:bookmarkStart w:name="_bookmark0" w:id="1"/>
      <w:bookmarkEnd w:id="1"/>
      <w:r>
        <w:rPr/>
      </w:r>
      <w:r>
        <w:rPr>
          <w:color w:val="FF8024"/>
          <w:w w:val="70"/>
          <w:sz w:val="96"/>
        </w:rPr>
        <w:t>Links</w:t>
      </w:r>
    </w:p>
    <w:p>
      <w:pPr>
        <w:pStyle w:val="BodyText"/>
        <w:spacing w:before="562"/>
        <w:ind w:left="240"/>
      </w:pPr>
      <w:r>
        <w:rPr/>
        <w:t>To quickly access each section, click on the hyperlinks below.</w:t>
      </w:r>
    </w:p>
    <w:p>
      <w:pPr>
        <w:pStyle w:val="BodyText"/>
        <w:spacing w:before="11"/>
        <w:rPr>
          <w:sz w:val="27"/>
        </w:rPr>
      </w:pPr>
    </w:p>
    <w:p>
      <w:pPr>
        <w:pStyle w:val="ListParagraph"/>
        <w:numPr>
          <w:ilvl w:val="0"/>
          <w:numId w:val="1"/>
        </w:numPr>
        <w:tabs>
          <w:tab w:pos="959" w:val="left" w:leader="none"/>
          <w:tab w:pos="960" w:val="left" w:leader="none"/>
        </w:tabs>
        <w:spacing w:line="240" w:lineRule="auto" w:before="0" w:after="0"/>
        <w:ind w:left="960" w:right="0" w:hanging="360"/>
        <w:jc w:val="left"/>
        <w:rPr>
          <w:sz w:val="24"/>
        </w:rPr>
      </w:pPr>
      <w:r>
        <w:rPr>
          <w:sz w:val="24"/>
        </w:rPr>
        <w:t>A summary of some the</w:t>
      </w:r>
      <w:r>
        <w:rPr>
          <w:color w:val="EC7C30"/>
          <w:sz w:val="24"/>
        </w:rPr>
        <w:t> </w:t>
      </w:r>
      <w:hyperlink w:history="true" w:anchor="_bookmark1">
        <w:r>
          <w:rPr>
            <w:color w:val="EC7C30"/>
            <w:sz w:val="24"/>
            <w:u w:val="single" w:color="EC7C30"/>
          </w:rPr>
          <w:t>key features of the new statutory</w:t>
        </w:r>
        <w:r>
          <w:rPr>
            <w:color w:val="EC7C30"/>
            <w:spacing w:val="-13"/>
            <w:sz w:val="24"/>
            <w:u w:val="single" w:color="EC7C30"/>
          </w:rPr>
          <w:t> </w:t>
        </w:r>
        <w:r>
          <w:rPr>
            <w:color w:val="EC7C30"/>
            <w:sz w:val="24"/>
            <w:u w:val="single" w:color="EC7C30"/>
          </w:rPr>
          <w:t>curriculum</w:t>
        </w:r>
      </w:hyperlink>
      <w:r>
        <w:rPr>
          <w:color w:val="EC7C30"/>
          <w:sz w:val="24"/>
        </w:rPr>
        <w:t>;</w:t>
      </w:r>
    </w:p>
    <w:p>
      <w:pPr>
        <w:pStyle w:val="BodyText"/>
        <w:spacing w:before="11"/>
        <w:rPr>
          <w:sz w:val="18"/>
        </w:rPr>
      </w:pPr>
    </w:p>
    <w:p>
      <w:pPr>
        <w:pStyle w:val="ListParagraph"/>
        <w:numPr>
          <w:ilvl w:val="0"/>
          <w:numId w:val="1"/>
        </w:numPr>
        <w:tabs>
          <w:tab w:pos="959" w:val="left" w:leader="none"/>
          <w:tab w:pos="960" w:val="left" w:leader="none"/>
        </w:tabs>
        <w:spacing w:line="240" w:lineRule="auto" w:before="100" w:after="0"/>
        <w:ind w:left="960" w:right="0" w:hanging="360"/>
        <w:jc w:val="left"/>
        <w:rPr>
          <w:sz w:val="24"/>
        </w:rPr>
      </w:pPr>
      <w:r>
        <w:rPr>
          <w:sz w:val="24"/>
        </w:rPr>
        <w:t>A summary of the</w:t>
      </w:r>
      <w:r>
        <w:rPr>
          <w:color w:val="EC7C30"/>
          <w:sz w:val="24"/>
        </w:rPr>
        <w:t> </w:t>
      </w:r>
      <w:hyperlink w:history="true" w:anchor="_bookmark2">
        <w:r>
          <w:rPr>
            <w:color w:val="EC7C30"/>
            <w:sz w:val="24"/>
            <w:u w:val="single" w:color="EC7C30"/>
          </w:rPr>
          <w:t>Church’s guidance for schools</w:t>
        </w:r>
        <w:r>
          <w:rPr>
            <w:color w:val="EC7C30"/>
            <w:sz w:val="24"/>
          </w:rPr>
          <w:t> </w:t>
        </w:r>
      </w:hyperlink>
      <w:r>
        <w:rPr>
          <w:sz w:val="24"/>
        </w:rPr>
        <w:t>on delivering</w:t>
      </w:r>
      <w:r>
        <w:rPr>
          <w:spacing w:val="-12"/>
          <w:sz w:val="24"/>
        </w:rPr>
        <w:t> </w:t>
      </w:r>
      <w:r>
        <w:rPr>
          <w:sz w:val="24"/>
        </w:rPr>
        <w:t>RSE;</w:t>
      </w:r>
    </w:p>
    <w:p>
      <w:pPr>
        <w:pStyle w:val="BodyText"/>
        <w:spacing w:before="9"/>
        <w:rPr>
          <w:sz w:val="18"/>
        </w:rPr>
      </w:pPr>
    </w:p>
    <w:p>
      <w:pPr>
        <w:pStyle w:val="ListParagraph"/>
        <w:numPr>
          <w:ilvl w:val="0"/>
          <w:numId w:val="1"/>
        </w:numPr>
        <w:tabs>
          <w:tab w:pos="959" w:val="left" w:leader="none"/>
          <w:tab w:pos="960" w:val="left" w:leader="none"/>
        </w:tabs>
        <w:spacing w:line="240" w:lineRule="auto" w:before="101" w:after="0"/>
        <w:ind w:left="960" w:right="0" w:hanging="360"/>
        <w:jc w:val="left"/>
        <w:rPr>
          <w:sz w:val="24"/>
        </w:rPr>
      </w:pPr>
      <w:hyperlink w:history="true" w:anchor="_bookmark3">
        <w:r>
          <w:rPr>
            <w:color w:val="EC7C30"/>
            <w:sz w:val="24"/>
            <w:u w:val="single" w:color="EC7C30"/>
          </w:rPr>
          <w:t>10 Principles</w:t>
        </w:r>
        <w:r>
          <w:rPr>
            <w:color w:val="EC7C30"/>
            <w:sz w:val="24"/>
          </w:rPr>
          <w:t> </w:t>
        </w:r>
      </w:hyperlink>
      <w:r>
        <w:rPr>
          <w:sz w:val="24"/>
        </w:rPr>
        <w:t>for a Catholic RSE</w:t>
      </w:r>
      <w:r>
        <w:rPr>
          <w:spacing w:val="-3"/>
          <w:sz w:val="24"/>
        </w:rPr>
        <w:t> </w:t>
      </w:r>
      <w:r>
        <w:rPr>
          <w:sz w:val="24"/>
        </w:rPr>
        <w:t>Programme;</w:t>
      </w:r>
    </w:p>
    <w:p>
      <w:pPr>
        <w:pStyle w:val="BodyText"/>
        <w:spacing w:before="10"/>
        <w:rPr>
          <w:sz w:val="18"/>
        </w:rPr>
      </w:pPr>
    </w:p>
    <w:p>
      <w:pPr>
        <w:pStyle w:val="ListParagraph"/>
        <w:numPr>
          <w:ilvl w:val="0"/>
          <w:numId w:val="1"/>
        </w:numPr>
        <w:tabs>
          <w:tab w:pos="959" w:val="left" w:leader="none"/>
          <w:tab w:pos="960" w:val="left" w:leader="none"/>
        </w:tabs>
        <w:spacing w:line="256" w:lineRule="auto" w:before="101" w:after="0"/>
        <w:ind w:left="960" w:right="341" w:hanging="360"/>
        <w:jc w:val="left"/>
        <w:rPr>
          <w:sz w:val="24"/>
        </w:rPr>
      </w:pPr>
      <w:r>
        <w:rPr>
          <w:sz w:val="24"/>
        </w:rPr>
        <w:t>An overview of</w:t>
      </w:r>
      <w:r>
        <w:rPr>
          <w:color w:val="EC7C30"/>
          <w:sz w:val="24"/>
        </w:rPr>
        <w:t> </w:t>
      </w:r>
      <w:hyperlink w:history="true" w:anchor="_bookmark4">
        <w:r>
          <w:rPr>
            <w:color w:val="EC7C30"/>
            <w:sz w:val="24"/>
            <w:u w:val="single" w:color="EC7C30"/>
          </w:rPr>
          <w:t>Ten Ten’s programme, “Life to the Full”</w:t>
        </w:r>
        <w:r>
          <w:rPr>
            <w:color w:val="EC7C30"/>
            <w:sz w:val="24"/>
          </w:rPr>
          <w:t> </w:t>
        </w:r>
      </w:hyperlink>
      <w:r>
        <w:rPr>
          <w:sz w:val="24"/>
        </w:rPr>
        <w:t>and how it can enable your school to deliver an RSE programme that is</w:t>
      </w:r>
      <w:r>
        <w:rPr>
          <w:spacing w:val="-9"/>
          <w:sz w:val="24"/>
        </w:rPr>
        <w:t> </w:t>
      </w:r>
      <w:r>
        <w:rPr>
          <w:sz w:val="24"/>
        </w:rPr>
        <w:t>fit-for-purpose;</w:t>
      </w:r>
    </w:p>
    <w:p>
      <w:pPr>
        <w:pStyle w:val="BodyText"/>
        <w:rPr>
          <w:sz w:val="26"/>
        </w:rPr>
      </w:pPr>
    </w:p>
    <w:p>
      <w:pPr>
        <w:pStyle w:val="ListParagraph"/>
        <w:numPr>
          <w:ilvl w:val="0"/>
          <w:numId w:val="1"/>
        </w:numPr>
        <w:tabs>
          <w:tab w:pos="959" w:val="left" w:leader="none"/>
          <w:tab w:pos="960" w:val="left" w:leader="none"/>
        </w:tabs>
        <w:spacing w:line="240" w:lineRule="auto" w:before="0" w:after="0"/>
        <w:ind w:left="960" w:right="0" w:hanging="360"/>
        <w:jc w:val="left"/>
        <w:rPr>
          <w:sz w:val="24"/>
        </w:rPr>
      </w:pPr>
      <w:r>
        <w:rPr>
          <w:sz w:val="24"/>
        </w:rPr>
        <w:t>A summary of</w:t>
      </w:r>
      <w:r>
        <w:rPr>
          <w:color w:val="EC7C30"/>
          <w:sz w:val="24"/>
        </w:rPr>
        <w:t> </w:t>
      </w:r>
      <w:hyperlink w:history="true" w:anchor="_bookmark5">
        <w:r>
          <w:rPr>
            <w:color w:val="EC7C30"/>
            <w:sz w:val="24"/>
            <w:u w:val="single" w:color="EC7C30"/>
          </w:rPr>
          <w:t>Ten Ten’s fee structure</w:t>
        </w:r>
        <w:r>
          <w:rPr>
            <w:color w:val="EC7C30"/>
            <w:sz w:val="24"/>
          </w:rPr>
          <w:t> </w:t>
        </w:r>
      </w:hyperlink>
      <w:r>
        <w:rPr>
          <w:sz w:val="24"/>
        </w:rPr>
        <w:t>for the academic year</w:t>
      </w:r>
      <w:r>
        <w:rPr>
          <w:spacing w:val="-15"/>
          <w:sz w:val="24"/>
        </w:rPr>
        <w:t> </w:t>
      </w:r>
      <w:r>
        <w:rPr>
          <w:sz w:val="24"/>
        </w:rPr>
        <w:t>2019-20.</w:t>
      </w:r>
    </w:p>
    <w:p>
      <w:pPr>
        <w:pStyle w:val="BodyText"/>
        <w:rPr>
          <w:sz w:val="19"/>
        </w:rPr>
      </w:pPr>
    </w:p>
    <w:p>
      <w:pPr>
        <w:pStyle w:val="ListParagraph"/>
        <w:numPr>
          <w:ilvl w:val="0"/>
          <w:numId w:val="1"/>
        </w:numPr>
        <w:tabs>
          <w:tab w:pos="959" w:val="left" w:leader="none"/>
          <w:tab w:pos="960" w:val="left" w:leader="none"/>
        </w:tabs>
        <w:spacing w:line="240" w:lineRule="auto" w:before="100" w:after="0"/>
        <w:ind w:left="960" w:right="0" w:hanging="360"/>
        <w:jc w:val="left"/>
        <w:rPr>
          <w:sz w:val="24"/>
        </w:rPr>
      </w:pPr>
      <w:hyperlink w:history="true" w:anchor="_bookmark7">
        <w:r>
          <w:rPr>
            <w:color w:val="EC7C30"/>
            <w:sz w:val="24"/>
            <w:u w:val="single" w:color="EC7C30"/>
          </w:rPr>
          <w:t>Appendix 1</w:t>
        </w:r>
      </w:hyperlink>
      <w:r>
        <w:rPr>
          <w:color w:val="EC7C30"/>
          <w:sz w:val="24"/>
        </w:rPr>
        <w:t>: </w:t>
      </w:r>
      <w:r>
        <w:rPr>
          <w:sz w:val="24"/>
        </w:rPr>
        <w:t>The Department of Education’s draft statutory</w:t>
      </w:r>
      <w:r>
        <w:rPr>
          <w:spacing w:val="-11"/>
          <w:sz w:val="24"/>
        </w:rPr>
        <w:t> </w:t>
      </w:r>
      <w:r>
        <w:rPr>
          <w:sz w:val="24"/>
        </w:rPr>
        <w:t>guidance</w:t>
      </w:r>
    </w:p>
    <w:p>
      <w:pPr>
        <w:pStyle w:val="BodyText"/>
        <w:spacing w:before="11"/>
        <w:rPr>
          <w:sz w:val="18"/>
        </w:rPr>
      </w:pPr>
    </w:p>
    <w:p>
      <w:pPr>
        <w:pStyle w:val="ListParagraph"/>
        <w:numPr>
          <w:ilvl w:val="0"/>
          <w:numId w:val="1"/>
        </w:numPr>
        <w:tabs>
          <w:tab w:pos="959" w:val="left" w:leader="none"/>
          <w:tab w:pos="960" w:val="left" w:leader="none"/>
        </w:tabs>
        <w:spacing w:line="256" w:lineRule="auto" w:before="100" w:after="0"/>
        <w:ind w:left="960" w:right="983" w:hanging="360"/>
        <w:jc w:val="left"/>
        <w:rPr>
          <w:sz w:val="24"/>
        </w:rPr>
      </w:pPr>
      <w:hyperlink w:history="true" w:anchor="_bookmark49">
        <w:r>
          <w:rPr>
            <w:color w:val="EC7C30"/>
            <w:sz w:val="24"/>
            <w:u w:val="single" w:color="EC7C30"/>
          </w:rPr>
          <w:t>Appendix 2:</w:t>
        </w:r>
        <w:r>
          <w:rPr>
            <w:color w:val="EC7C30"/>
            <w:sz w:val="24"/>
          </w:rPr>
          <w:t> </w:t>
        </w:r>
      </w:hyperlink>
      <w:r>
        <w:rPr>
          <w:sz w:val="24"/>
        </w:rPr>
        <w:t>A Model Catholic Secondary RSE Curriculum (the Catholic Education</w:t>
      </w:r>
      <w:r>
        <w:rPr>
          <w:spacing w:val="-1"/>
          <w:sz w:val="24"/>
        </w:rPr>
        <w:t> </w:t>
      </w:r>
      <w:r>
        <w:rPr>
          <w:sz w:val="24"/>
        </w:rPr>
        <w:t>Service)</w:t>
      </w:r>
    </w:p>
    <w:p>
      <w:pPr>
        <w:pStyle w:val="BodyText"/>
        <w:rPr>
          <w:sz w:val="26"/>
        </w:rPr>
      </w:pPr>
    </w:p>
    <w:p>
      <w:pPr>
        <w:pStyle w:val="ListParagraph"/>
        <w:numPr>
          <w:ilvl w:val="0"/>
          <w:numId w:val="1"/>
        </w:numPr>
        <w:tabs>
          <w:tab w:pos="959" w:val="left" w:leader="none"/>
          <w:tab w:pos="960" w:val="left" w:leader="none"/>
        </w:tabs>
        <w:spacing w:line="256" w:lineRule="auto" w:before="1" w:after="0"/>
        <w:ind w:left="960" w:right="500" w:hanging="360"/>
        <w:jc w:val="left"/>
        <w:rPr>
          <w:sz w:val="24"/>
        </w:rPr>
      </w:pPr>
      <w:hyperlink w:history="true" w:anchor="_bookmark50">
        <w:r>
          <w:rPr>
            <w:color w:val="EC7C30"/>
            <w:sz w:val="24"/>
            <w:u w:val="single" w:color="EC7C30"/>
          </w:rPr>
          <w:t>Appendix 3:</w:t>
        </w:r>
        <w:r>
          <w:rPr>
            <w:color w:val="EC7C30"/>
            <w:sz w:val="24"/>
          </w:rPr>
          <w:t> </w:t>
        </w:r>
      </w:hyperlink>
      <w:r>
        <w:rPr>
          <w:sz w:val="24"/>
        </w:rPr>
        <w:t>“Learning to Love”, a teaching document for Catholic educators from the Bishops’ Conference in England and</w:t>
      </w:r>
      <w:r>
        <w:rPr>
          <w:spacing w:val="-5"/>
          <w:sz w:val="24"/>
        </w:rPr>
        <w:t> </w:t>
      </w:r>
      <w:r>
        <w:rPr>
          <w:sz w:val="24"/>
        </w:rPr>
        <w:t>Wales.</w:t>
      </w:r>
    </w:p>
    <w:p>
      <w:pPr>
        <w:pStyle w:val="BodyText"/>
        <w:rPr>
          <w:sz w:val="26"/>
        </w:rPr>
      </w:pPr>
    </w:p>
    <w:p>
      <w:pPr>
        <w:pStyle w:val="BodyText"/>
        <w:spacing w:before="10"/>
        <w:rPr>
          <w:sz w:val="25"/>
        </w:rPr>
      </w:pPr>
    </w:p>
    <w:p>
      <w:pPr>
        <w:pStyle w:val="BodyText"/>
        <w:ind w:left="240"/>
      </w:pPr>
      <w:r>
        <w:rPr/>
        <w:t>You can return to this index page by clicking the link in the footer.</w:t>
      </w:r>
    </w:p>
    <w:p>
      <w:pPr>
        <w:pStyle w:val="BodyText"/>
        <w:rPr>
          <w:sz w:val="26"/>
        </w:rPr>
      </w:pPr>
    </w:p>
    <w:p>
      <w:pPr>
        <w:pStyle w:val="BodyText"/>
        <w:rPr>
          <w:sz w:val="26"/>
        </w:rPr>
      </w:pPr>
    </w:p>
    <w:p>
      <w:pPr>
        <w:pStyle w:val="BodyText"/>
        <w:spacing w:before="7"/>
        <w:rPr>
          <w:sz w:val="27"/>
        </w:rPr>
      </w:pPr>
    </w:p>
    <w:p>
      <w:pPr>
        <w:spacing w:before="0"/>
        <w:ind w:left="805" w:right="805" w:firstLine="0"/>
        <w:jc w:val="center"/>
        <w:rPr>
          <w:sz w:val="40"/>
        </w:rPr>
      </w:pPr>
      <w:hyperlink w:history="true" w:anchor="_bookmark6">
        <w:r>
          <w:rPr>
            <w:color w:val="EC7C30"/>
            <w:sz w:val="40"/>
            <w:u w:val="thick" w:color="EC7C30"/>
          </w:rPr>
          <w:t>Subscribe and Book</w:t>
        </w:r>
      </w:hyperlink>
    </w:p>
    <w:p>
      <w:pPr>
        <w:spacing w:after="0"/>
        <w:jc w:val="center"/>
        <w:rPr>
          <w:sz w:val="40"/>
        </w:rPr>
        <w:sectPr>
          <w:pgSz w:w="11910" w:h="16840"/>
          <w:pgMar w:header="715" w:footer="1445" w:top="1320" w:bottom="1640" w:left="1200" w:right="1200"/>
        </w:sectPr>
      </w:pPr>
    </w:p>
    <w:p>
      <w:pPr>
        <w:pStyle w:val="BodyText"/>
        <w:rPr>
          <w:sz w:val="20"/>
        </w:rPr>
      </w:pPr>
    </w:p>
    <w:p>
      <w:pPr>
        <w:pStyle w:val="BodyText"/>
        <w:rPr>
          <w:sz w:val="20"/>
        </w:rPr>
      </w:pPr>
    </w:p>
    <w:p>
      <w:pPr>
        <w:pStyle w:val="BodyText"/>
        <w:spacing w:before="5"/>
        <w:rPr>
          <w:sz w:val="21"/>
        </w:rPr>
      </w:pPr>
    </w:p>
    <w:p>
      <w:pPr>
        <w:spacing w:before="13"/>
        <w:ind w:left="240" w:right="0" w:firstLine="0"/>
        <w:jc w:val="left"/>
        <w:rPr>
          <w:sz w:val="72"/>
        </w:rPr>
      </w:pPr>
      <w:bookmarkStart w:name="_bookmark1" w:id="2"/>
      <w:bookmarkEnd w:id="2"/>
      <w:r>
        <w:rPr/>
      </w:r>
      <w:r>
        <w:rPr>
          <w:color w:val="FF8024"/>
          <w:w w:val="65"/>
          <w:sz w:val="72"/>
        </w:rPr>
        <w:t>Key</w:t>
      </w:r>
      <w:r>
        <w:rPr>
          <w:color w:val="FF8024"/>
          <w:spacing w:val="-85"/>
          <w:w w:val="65"/>
          <w:sz w:val="72"/>
        </w:rPr>
        <w:t> </w:t>
      </w:r>
      <w:r>
        <w:rPr>
          <w:color w:val="FF8024"/>
          <w:w w:val="65"/>
          <w:sz w:val="72"/>
        </w:rPr>
        <w:t>Information</w:t>
      </w:r>
      <w:r>
        <w:rPr>
          <w:color w:val="FF8024"/>
          <w:spacing w:val="-84"/>
          <w:w w:val="65"/>
          <w:sz w:val="72"/>
        </w:rPr>
        <w:t> </w:t>
      </w:r>
      <w:r>
        <w:rPr>
          <w:color w:val="FF8024"/>
          <w:w w:val="65"/>
          <w:sz w:val="72"/>
        </w:rPr>
        <w:t>from</w:t>
      </w:r>
      <w:r>
        <w:rPr>
          <w:color w:val="FF8024"/>
          <w:spacing w:val="-85"/>
          <w:w w:val="65"/>
          <w:sz w:val="72"/>
        </w:rPr>
        <w:t> </w:t>
      </w:r>
      <w:r>
        <w:rPr>
          <w:color w:val="FF8024"/>
          <w:w w:val="65"/>
          <w:sz w:val="72"/>
        </w:rPr>
        <w:t>the</w:t>
      </w:r>
      <w:r>
        <w:rPr>
          <w:color w:val="FF8024"/>
          <w:spacing w:val="-85"/>
          <w:w w:val="65"/>
          <w:sz w:val="72"/>
        </w:rPr>
        <w:t> </w:t>
      </w:r>
      <w:r>
        <w:rPr>
          <w:color w:val="FF8024"/>
          <w:w w:val="65"/>
          <w:sz w:val="72"/>
        </w:rPr>
        <w:t>DRAFT</w:t>
      </w:r>
      <w:r>
        <w:rPr>
          <w:color w:val="FF8024"/>
          <w:spacing w:val="-84"/>
          <w:w w:val="65"/>
          <w:sz w:val="72"/>
        </w:rPr>
        <w:t> </w:t>
      </w:r>
      <w:r>
        <w:rPr>
          <w:color w:val="FF8024"/>
          <w:w w:val="65"/>
          <w:sz w:val="72"/>
        </w:rPr>
        <w:t>GUIDANCE</w:t>
      </w:r>
    </w:p>
    <w:p>
      <w:pPr>
        <w:pStyle w:val="BodyText"/>
        <w:spacing w:before="545"/>
        <w:ind w:left="240" w:right="313"/>
      </w:pPr>
      <w:r>
        <w:rPr/>
        <w:t>The last time the </w:t>
      </w:r>
      <w:r>
        <w:rPr>
          <w:b/>
        </w:rPr>
        <w:t>Department of Education </w:t>
      </w:r>
      <w:r>
        <w:rPr/>
        <w:t>published guidance for schools on teaching SRE (as it was known then) was in 2000. This, of course, was a time before the internet had infiltrated our lives, social media was a thing and conversations around gender, sexuality and family structures did not have the breadth and complexity we are faced with today. These days, of course, young people as just as likely to be engaging in social interaction through online devices as much as they are</w:t>
      </w:r>
      <w:r>
        <w:rPr>
          <w:spacing w:val="-1"/>
        </w:rPr>
        <w:t> </w:t>
      </w:r>
      <w:r>
        <w:rPr/>
        <w:t>face-to-face.</w:t>
      </w:r>
    </w:p>
    <w:p>
      <w:pPr>
        <w:pStyle w:val="BodyText"/>
      </w:pPr>
    </w:p>
    <w:p>
      <w:pPr>
        <w:pStyle w:val="BodyText"/>
        <w:ind w:left="240" w:right="418"/>
      </w:pPr>
      <w:r>
        <w:rPr/>
        <w:t>The purpose and vision behind teaching young people how to live well with themselves and with others has evolved, reflected in the fact that the new guidance now refers to the curriculum as RSE, rather than SRE, placing the emphasis on the need for young people to understand ‘sex’ within the context of ‘relationships’.</w:t>
      </w:r>
    </w:p>
    <w:p>
      <w:pPr>
        <w:pStyle w:val="BodyText"/>
      </w:pPr>
    </w:p>
    <w:p>
      <w:pPr>
        <w:pStyle w:val="BodyText"/>
        <w:ind w:left="240"/>
      </w:pPr>
      <w:r>
        <w:rPr/>
        <w:t>In the overview for primary schools, it says:</w:t>
      </w:r>
    </w:p>
    <w:p>
      <w:pPr>
        <w:pStyle w:val="BodyText"/>
      </w:pPr>
    </w:p>
    <w:p>
      <w:pPr>
        <w:pStyle w:val="BodyText"/>
        <w:tabs>
          <w:tab w:pos="5069" w:val="left" w:leader="none"/>
        </w:tabs>
        <w:ind w:left="960" w:right="274"/>
      </w:pPr>
      <w:r>
        <w:rPr/>
        <w:t>"The focus in primary school should be on teaching the fundamental building blocks and characteristics of positive relationships, with particular reference to friendships, family relationships, and relationships with other children and with adults. This starts with pupils being taught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the concept of personal privacy. Establishing personal space and boundaries, showing respect and understanding the differences between appropriate and inappropriate or unsafe physical, and other,</w:t>
      </w:r>
      <w:r>
        <w:rPr>
          <w:spacing w:val="-9"/>
        </w:rPr>
        <w:t> </w:t>
      </w:r>
      <w:r>
        <w:rPr/>
        <w:t>contact</w:t>
      </w:r>
      <w:r>
        <w:rPr>
          <w:spacing w:val="-1"/>
        </w:rPr>
        <w:t> </w:t>
      </w:r>
      <w:r>
        <w:rPr/>
        <w:t>–</w:t>
        <w:tab/>
        <w:t>these are the forerunners of teaching about consent, which takes place at secondary." (54 &amp;</w:t>
      </w:r>
      <w:r>
        <w:rPr>
          <w:spacing w:val="-6"/>
        </w:rPr>
        <w:t> </w:t>
      </w:r>
      <w:r>
        <w:rPr/>
        <w:t>55)</w:t>
      </w:r>
    </w:p>
    <w:p>
      <w:pPr>
        <w:pStyle w:val="BodyText"/>
        <w:spacing w:before="1"/>
      </w:pPr>
    </w:p>
    <w:p>
      <w:pPr>
        <w:pStyle w:val="BodyText"/>
        <w:ind w:left="240" w:right="232"/>
      </w:pPr>
      <w:r>
        <w:rPr/>
        <w:t>Those who have worked in Catholic education for many years will know that so many Catholic schools already fulfil these expectations very effectively, and do so much more, placing the formation of the individual with his/her personal circumstances and experiences at the heart of the school’s pastoral care.</w:t>
      </w:r>
    </w:p>
    <w:p>
      <w:pPr>
        <w:pStyle w:val="BodyText"/>
      </w:pPr>
    </w:p>
    <w:p>
      <w:pPr>
        <w:pStyle w:val="BodyText"/>
        <w:ind w:left="240" w:right="352"/>
      </w:pPr>
      <w:r>
        <w:rPr/>
        <w:t>However, compulsory Relationships Education is more than just a mission of pastoral care to be led by the school’s pastoral team. It is a curriculum subject - a statutory element of PSHE.</w:t>
      </w:r>
    </w:p>
    <w:p>
      <w:pPr>
        <w:spacing w:after="0"/>
        <w:sectPr>
          <w:pgSz w:w="11910" w:h="16840"/>
          <w:pgMar w:header="715" w:footer="1445" w:top="1320" w:bottom="164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90"/>
        <w:ind w:left="240" w:right="0" w:firstLine="0"/>
        <w:jc w:val="left"/>
        <w:rPr>
          <w:b/>
          <w:sz w:val="32"/>
        </w:rPr>
      </w:pPr>
      <w:r>
        <w:rPr>
          <w:b/>
          <w:sz w:val="32"/>
        </w:rPr>
        <w:t>A statutory subject</w:t>
      </w:r>
    </w:p>
    <w:p>
      <w:pPr>
        <w:pStyle w:val="BodyText"/>
        <w:spacing w:before="277"/>
        <w:ind w:left="240" w:right="285"/>
      </w:pPr>
      <w:r>
        <w:rPr/>
        <w:t>From September 2020, ‘Relationships Education’ will become statutory in all primary/prep schools and ‘Health Education’ will become statutory in all state-funded schools. These subjects will sit alongside other primary core curriculum subjects:</w:t>
      </w:r>
    </w:p>
    <w:p>
      <w:pPr>
        <w:pStyle w:val="BodyText"/>
        <w:spacing w:before="8"/>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6"/>
        <w:gridCol w:w="3063"/>
      </w:tblGrid>
      <w:tr>
        <w:trPr>
          <w:trHeight w:val="272" w:hRule="atLeast"/>
        </w:trPr>
        <w:tc>
          <w:tcPr>
            <w:tcW w:w="4326" w:type="dxa"/>
          </w:tcPr>
          <w:p>
            <w:pPr>
              <w:pStyle w:val="TableParagraph"/>
              <w:spacing w:line="252" w:lineRule="exact"/>
              <w:ind w:left="200"/>
              <w:rPr>
                <w:sz w:val="24"/>
              </w:rPr>
            </w:pPr>
            <w:r>
              <w:rPr>
                <w:sz w:val="24"/>
              </w:rPr>
              <w:t>English</w:t>
            </w:r>
          </w:p>
        </w:tc>
        <w:tc>
          <w:tcPr>
            <w:tcW w:w="3063" w:type="dxa"/>
          </w:tcPr>
          <w:p>
            <w:pPr>
              <w:pStyle w:val="TableParagraph"/>
              <w:spacing w:line="252" w:lineRule="exact"/>
              <w:ind w:left="340"/>
              <w:rPr>
                <w:sz w:val="24"/>
              </w:rPr>
            </w:pPr>
            <w:r>
              <w:rPr>
                <w:sz w:val="24"/>
              </w:rPr>
              <w:t>Maths</w:t>
            </w:r>
          </w:p>
        </w:tc>
      </w:tr>
      <w:tr>
        <w:trPr>
          <w:trHeight w:val="276" w:hRule="atLeast"/>
        </w:trPr>
        <w:tc>
          <w:tcPr>
            <w:tcW w:w="4326" w:type="dxa"/>
          </w:tcPr>
          <w:p>
            <w:pPr>
              <w:pStyle w:val="TableParagraph"/>
              <w:spacing w:line="256" w:lineRule="exact"/>
              <w:ind w:left="200"/>
              <w:rPr>
                <w:sz w:val="24"/>
              </w:rPr>
            </w:pPr>
            <w:r>
              <w:rPr>
                <w:sz w:val="24"/>
              </w:rPr>
              <w:t>Science</w:t>
            </w:r>
          </w:p>
        </w:tc>
        <w:tc>
          <w:tcPr>
            <w:tcW w:w="3063" w:type="dxa"/>
            <w:vMerge w:val="restart"/>
          </w:tcPr>
          <w:p>
            <w:pPr>
              <w:pStyle w:val="TableParagraph"/>
              <w:ind w:left="340" w:right="181"/>
              <w:rPr>
                <w:sz w:val="24"/>
              </w:rPr>
            </w:pPr>
            <w:r>
              <w:rPr>
                <w:sz w:val="24"/>
              </w:rPr>
              <w:t>Design and Technology Geography</w:t>
            </w:r>
          </w:p>
          <w:p>
            <w:pPr>
              <w:pStyle w:val="TableParagraph"/>
              <w:ind w:left="340" w:right="1551"/>
              <w:rPr>
                <w:sz w:val="24"/>
              </w:rPr>
            </w:pPr>
            <w:r>
              <w:rPr>
                <w:sz w:val="24"/>
              </w:rPr>
              <w:t>Music </w:t>
            </w:r>
            <w:r>
              <w:rPr>
                <w:spacing w:val="-1"/>
                <w:sz w:val="24"/>
              </w:rPr>
              <w:t>Computing</w:t>
            </w:r>
          </w:p>
          <w:p>
            <w:pPr>
              <w:pStyle w:val="TableParagraph"/>
              <w:spacing w:before="7"/>
              <w:ind w:left="0"/>
              <w:rPr>
                <w:sz w:val="23"/>
              </w:rPr>
            </w:pPr>
          </w:p>
          <w:p>
            <w:pPr>
              <w:pStyle w:val="TableParagraph"/>
              <w:spacing w:line="256" w:lineRule="exact"/>
              <w:ind w:left="340"/>
              <w:rPr>
                <w:b/>
                <w:sz w:val="24"/>
              </w:rPr>
            </w:pPr>
            <w:r>
              <w:rPr>
                <w:b/>
                <w:sz w:val="24"/>
              </w:rPr>
              <w:t>Health Education</w:t>
            </w:r>
          </w:p>
        </w:tc>
      </w:tr>
      <w:tr>
        <w:trPr>
          <w:trHeight w:val="275" w:hRule="atLeast"/>
        </w:trPr>
        <w:tc>
          <w:tcPr>
            <w:tcW w:w="4326" w:type="dxa"/>
          </w:tcPr>
          <w:p>
            <w:pPr>
              <w:pStyle w:val="TableParagraph"/>
              <w:spacing w:line="256" w:lineRule="exact"/>
              <w:ind w:left="200"/>
              <w:rPr>
                <w:sz w:val="24"/>
              </w:rPr>
            </w:pPr>
            <w:r>
              <w:rPr>
                <w:sz w:val="24"/>
              </w:rPr>
              <w:t>History</w:t>
            </w:r>
          </w:p>
        </w:tc>
        <w:tc>
          <w:tcPr>
            <w:tcW w:w="3063" w:type="dxa"/>
            <w:vMerge/>
            <w:tcBorders>
              <w:top w:val="nil"/>
            </w:tcBorders>
          </w:tcPr>
          <w:p>
            <w:pPr>
              <w:rPr>
                <w:sz w:val="2"/>
                <w:szCs w:val="2"/>
              </w:rPr>
            </w:pPr>
          </w:p>
        </w:tc>
      </w:tr>
      <w:tr>
        <w:trPr>
          <w:trHeight w:val="275" w:hRule="atLeast"/>
        </w:trPr>
        <w:tc>
          <w:tcPr>
            <w:tcW w:w="4326" w:type="dxa"/>
          </w:tcPr>
          <w:p>
            <w:pPr>
              <w:pStyle w:val="TableParagraph"/>
              <w:spacing w:line="256" w:lineRule="exact"/>
              <w:ind w:left="200"/>
              <w:rPr>
                <w:sz w:val="24"/>
              </w:rPr>
            </w:pPr>
            <w:r>
              <w:rPr>
                <w:sz w:val="24"/>
              </w:rPr>
              <w:t>Art and Design</w:t>
            </w:r>
          </w:p>
        </w:tc>
        <w:tc>
          <w:tcPr>
            <w:tcW w:w="3063" w:type="dxa"/>
            <w:vMerge/>
            <w:tcBorders>
              <w:top w:val="nil"/>
            </w:tcBorders>
          </w:tcPr>
          <w:p>
            <w:pPr>
              <w:rPr>
                <w:sz w:val="2"/>
                <w:szCs w:val="2"/>
              </w:rPr>
            </w:pPr>
          </w:p>
        </w:tc>
      </w:tr>
      <w:tr>
        <w:trPr>
          <w:trHeight w:val="276" w:hRule="atLeast"/>
        </w:trPr>
        <w:tc>
          <w:tcPr>
            <w:tcW w:w="4326" w:type="dxa"/>
          </w:tcPr>
          <w:p>
            <w:pPr>
              <w:pStyle w:val="TableParagraph"/>
              <w:spacing w:line="256" w:lineRule="exact"/>
              <w:ind w:left="200"/>
              <w:rPr>
                <w:sz w:val="24"/>
              </w:rPr>
            </w:pPr>
            <w:r>
              <w:rPr>
                <w:sz w:val="24"/>
              </w:rPr>
              <w:t>Physical Education (PE)</w:t>
            </w:r>
          </w:p>
        </w:tc>
        <w:tc>
          <w:tcPr>
            <w:tcW w:w="3063" w:type="dxa"/>
            <w:vMerge/>
            <w:tcBorders>
              <w:top w:val="nil"/>
            </w:tcBorders>
          </w:tcPr>
          <w:p>
            <w:pPr>
              <w:rPr>
                <w:sz w:val="2"/>
                <w:szCs w:val="2"/>
              </w:rPr>
            </w:pPr>
          </w:p>
        </w:tc>
      </w:tr>
      <w:tr>
        <w:trPr>
          <w:trHeight w:val="275" w:hRule="atLeast"/>
        </w:trPr>
        <w:tc>
          <w:tcPr>
            <w:tcW w:w="4326" w:type="dxa"/>
          </w:tcPr>
          <w:p>
            <w:pPr>
              <w:pStyle w:val="TableParagraph"/>
              <w:spacing w:line="256" w:lineRule="exact"/>
              <w:ind w:left="200"/>
              <w:rPr>
                <w:sz w:val="24"/>
              </w:rPr>
            </w:pPr>
            <w:r>
              <w:rPr>
                <w:sz w:val="24"/>
              </w:rPr>
              <w:t>Foreign languages</w:t>
            </w:r>
          </w:p>
        </w:tc>
        <w:tc>
          <w:tcPr>
            <w:tcW w:w="3063" w:type="dxa"/>
            <w:vMerge/>
            <w:tcBorders>
              <w:top w:val="nil"/>
            </w:tcBorders>
          </w:tcPr>
          <w:p>
            <w:pPr>
              <w:rPr>
                <w:sz w:val="2"/>
                <w:szCs w:val="2"/>
              </w:rPr>
            </w:pPr>
          </w:p>
        </w:tc>
      </w:tr>
      <w:tr>
        <w:trPr>
          <w:trHeight w:val="272" w:hRule="atLeast"/>
        </w:trPr>
        <w:tc>
          <w:tcPr>
            <w:tcW w:w="4326" w:type="dxa"/>
          </w:tcPr>
          <w:p>
            <w:pPr>
              <w:pStyle w:val="TableParagraph"/>
              <w:spacing w:line="252" w:lineRule="exact"/>
              <w:ind w:left="200"/>
              <w:rPr>
                <w:b/>
                <w:sz w:val="24"/>
              </w:rPr>
            </w:pPr>
            <w:r>
              <w:rPr>
                <w:b/>
                <w:sz w:val="24"/>
              </w:rPr>
              <w:t>Relationships and Sex Education</w:t>
            </w:r>
          </w:p>
        </w:tc>
        <w:tc>
          <w:tcPr>
            <w:tcW w:w="3063" w:type="dxa"/>
            <w:vMerge/>
            <w:tcBorders>
              <w:top w:val="nil"/>
            </w:tcBorders>
          </w:tcPr>
          <w:p>
            <w:pPr>
              <w:rPr>
                <w:sz w:val="2"/>
                <w:szCs w:val="2"/>
              </w:rPr>
            </w:pPr>
          </w:p>
        </w:tc>
      </w:tr>
    </w:tbl>
    <w:p>
      <w:pPr>
        <w:pStyle w:val="BodyText"/>
        <w:rPr>
          <w:sz w:val="26"/>
        </w:rPr>
      </w:pPr>
    </w:p>
    <w:p>
      <w:pPr>
        <w:pStyle w:val="BodyText"/>
        <w:spacing w:before="10"/>
        <w:rPr>
          <w:sz w:val="29"/>
        </w:rPr>
      </w:pPr>
    </w:p>
    <w:p>
      <w:pPr>
        <w:spacing w:before="0"/>
        <w:ind w:left="240" w:right="0" w:firstLine="0"/>
        <w:jc w:val="left"/>
        <w:rPr>
          <w:b/>
          <w:sz w:val="32"/>
        </w:rPr>
      </w:pPr>
      <w:r>
        <w:rPr>
          <w:b/>
          <w:sz w:val="32"/>
        </w:rPr>
        <w:t>When and how should it be taught?</w:t>
      </w:r>
    </w:p>
    <w:p>
      <w:pPr>
        <w:pStyle w:val="BodyText"/>
        <w:spacing w:before="277"/>
        <w:ind w:left="240"/>
      </w:pPr>
      <w:r>
        <w:rPr/>
        <w:t>The draft guidance says:</w:t>
      </w:r>
    </w:p>
    <w:p>
      <w:pPr>
        <w:pStyle w:val="BodyText"/>
      </w:pPr>
    </w:p>
    <w:p>
      <w:pPr>
        <w:pStyle w:val="BodyText"/>
        <w:ind w:left="960" w:right="325"/>
      </w:pPr>
      <w:r>
        <w:rPr/>
        <w:t>Schools are free to determine how to deliver the content set out in [the statutory] guidance, in the context of a broad and balanced curriculum. Effective teaching in these subjects will ensure that core knowledge is broken down into units of manageable size and communicated clearly to pupils, in a carefully sequenced way, within </w:t>
      </w:r>
      <w:r>
        <w:rPr>
          <w:b/>
        </w:rPr>
        <w:t>a planned programme of lessons</w:t>
      </w:r>
      <w:r>
        <w:rPr/>
        <w:t>. (5)</w:t>
      </w:r>
    </w:p>
    <w:p>
      <w:pPr>
        <w:pStyle w:val="BodyText"/>
      </w:pPr>
    </w:p>
    <w:p>
      <w:pPr>
        <w:pStyle w:val="BodyText"/>
        <w:ind w:left="960" w:right="326"/>
        <w:jc w:val="both"/>
      </w:pPr>
      <w:r>
        <w:rPr/>
        <w:t>High-quality, evidence-based and age-appropriate teaching of these subjects can help prepare pupils for the opportunities, responsibilities and experiences of adult life. (2)</w:t>
      </w:r>
    </w:p>
    <w:p>
      <w:pPr>
        <w:pStyle w:val="BodyText"/>
      </w:pPr>
    </w:p>
    <w:p>
      <w:pPr>
        <w:pStyle w:val="BodyText"/>
        <w:ind w:left="960" w:right="378"/>
      </w:pPr>
      <w:r>
        <w:rPr/>
        <w:t>Working with external organisations can enhance delivery of these subjects, bringing in specialist knowledge (51). [However], use of visitors should be to enhance teaching by an appropriate member of teaching staff, rather than as a replacement for teaching by those staff. (53)</w:t>
      </w:r>
    </w:p>
    <w:p>
      <w:pPr>
        <w:pStyle w:val="BodyText"/>
      </w:pPr>
    </w:p>
    <w:p>
      <w:pPr>
        <w:pStyle w:val="BodyText"/>
        <w:ind w:left="240" w:right="258"/>
      </w:pPr>
      <w:r>
        <w:rPr/>
        <w:t>This means that RSE can no longer be taught </w:t>
      </w:r>
      <w:r>
        <w:rPr>
          <w:u w:val="single"/>
        </w:rPr>
        <w:t>only</w:t>
      </w:r>
      <w:r>
        <w:rPr/>
        <w:t> on drop-down days or left entirely to the input of an external visitor. Instead, it should be integrated into the core school curriculum timetable; evidence of success needs to be recorded; and it should be led by staff in school who can, of course, receive support from outside agencies and organisations. But the teaching cannot be left to these outside agencies only.</w:t>
      </w:r>
    </w:p>
    <w:p>
      <w:pPr>
        <w:spacing w:after="0"/>
        <w:sectPr>
          <w:pgSz w:w="11910" w:h="16840"/>
          <w:pgMar w:header="715" w:footer="1445" w:top="1320" w:bottom="1640" w:left="1200" w:right="1200"/>
        </w:sectPr>
      </w:pPr>
    </w:p>
    <w:p>
      <w:pPr>
        <w:pStyle w:val="BodyText"/>
        <w:spacing w:before="3"/>
        <w:rPr>
          <w:sz w:val="15"/>
        </w:rPr>
      </w:pPr>
    </w:p>
    <w:p>
      <w:pPr>
        <w:spacing w:before="90"/>
        <w:ind w:left="240" w:right="0" w:firstLine="0"/>
        <w:jc w:val="left"/>
        <w:rPr>
          <w:b/>
          <w:sz w:val="32"/>
        </w:rPr>
      </w:pPr>
      <w:r>
        <w:rPr>
          <w:b/>
          <w:sz w:val="32"/>
        </w:rPr>
        <w:t>What about faith schools?</w:t>
      </w:r>
    </w:p>
    <w:p>
      <w:pPr>
        <w:pStyle w:val="BodyText"/>
        <w:spacing w:before="277"/>
        <w:ind w:left="240" w:right="245"/>
      </w:pPr>
      <w:r>
        <w:rPr/>
        <w:t>In press and news stories about the new RSE guidance, there has been concern and anxiety about how far faith schools can deliver RSE within the context of their own faith perspective.  This conflict has been particularly evident in the row that erupted in Birmingham schools regarding the No Outsiders programme and the Muslim community.</w:t>
      </w:r>
    </w:p>
    <w:p>
      <w:pPr>
        <w:pStyle w:val="BodyText"/>
      </w:pPr>
    </w:p>
    <w:p>
      <w:pPr>
        <w:pStyle w:val="BodyText"/>
        <w:ind w:left="239"/>
      </w:pPr>
      <w:r>
        <w:rPr/>
        <w:t>The new draft statutory RSE guidance says this:</w:t>
      </w:r>
    </w:p>
    <w:p>
      <w:pPr>
        <w:pStyle w:val="BodyText"/>
      </w:pPr>
    </w:p>
    <w:p>
      <w:pPr>
        <w:pStyle w:val="BodyText"/>
        <w:ind w:left="960" w:right="446"/>
      </w:pPr>
      <w:r>
        <w:rPr/>
        <w:t>Schools with a religious character may teach the distinctive faith perspective on relationships, and balanced debate may take place about issues that are seen as contentious. For example, the school may wish to reflect on faith teachings about certain topics as well as how their faith institutions may support people in matters or relationships and sex. (21)</w:t>
      </w:r>
    </w:p>
    <w:p>
      <w:pPr>
        <w:pStyle w:val="BodyText"/>
      </w:pPr>
    </w:p>
    <w:p>
      <w:pPr>
        <w:pStyle w:val="BodyText"/>
        <w:ind w:left="960" w:right="259"/>
      </w:pPr>
      <w:r>
        <w:rPr/>
        <w:t>It is recognised that there will be a range of opinions regarding RSE. The starting principle when teaching each of these must be that the applicable law should be taught in a factual way so that pupils are clear on their rights and responsibilities as citizens. (76) Schools may choose to explore faith, or other perspectives, on some of these issues in other subjects such as Religious Education. (77)</w:t>
      </w:r>
    </w:p>
    <w:p>
      <w:pPr>
        <w:pStyle w:val="BodyText"/>
        <w:spacing w:before="10"/>
        <w:rPr>
          <w:sz w:val="23"/>
        </w:rPr>
      </w:pPr>
    </w:p>
    <w:p>
      <w:pPr>
        <w:spacing w:before="0"/>
        <w:ind w:left="240" w:right="0" w:firstLine="0"/>
        <w:jc w:val="left"/>
        <w:rPr>
          <w:b/>
          <w:sz w:val="32"/>
        </w:rPr>
      </w:pPr>
      <w:r>
        <w:rPr>
          <w:b/>
          <w:sz w:val="32"/>
        </w:rPr>
        <w:t>What about LGBT?</w:t>
      </w:r>
    </w:p>
    <w:p>
      <w:pPr>
        <w:pStyle w:val="BodyText"/>
        <w:spacing w:before="277"/>
        <w:ind w:left="240" w:right="284"/>
      </w:pPr>
      <w:r>
        <w:rPr/>
        <w:t>In the draft statutory guidance, there is a section particularly focused on the teaching of LGBT matters. It says:</w:t>
      </w:r>
    </w:p>
    <w:p>
      <w:pPr>
        <w:pStyle w:val="BodyText"/>
      </w:pPr>
    </w:p>
    <w:p>
      <w:pPr>
        <w:pStyle w:val="BodyText"/>
        <w:ind w:left="960" w:right="265"/>
      </w:pPr>
      <w:r>
        <w:rPr/>
        <w:t>In teaching Relationships Education and RSE, schools should ensure that the needs of all pupils are appropriately met, and that all pupils understand the importance of equality and respect. Schools must ensure that they comply with the relevant provisions of the Equality Act 2010, (please see The Equality Act 2010 and schools: Departmental advice), under which sexual orientation and gender reassignment are amongst the protected characteristics. (36)</w:t>
      </w:r>
    </w:p>
    <w:p>
      <w:pPr>
        <w:pStyle w:val="BodyText"/>
      </w:pPr>
    </w:p>
    <w:p>
      <w:pPr>
        <w:pStyle w:val="BodyText"/>
        <w:ind w:left="960" w:right="338"/>
      </w:pPr>
      <w:r>
        <w:rPr/>
        <w:t>Schools should ensure that all of their teaching is sensitive and age appropriate in approach and content. At the point at which schools consider it appropriate to teach their pupils about LGBT, they should ensure that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 (37)</w:t>
      </w:r>
    </w:p>
    <w:p>
      <w:pPr>
        <w:pStyle w:val="BodyText"/>
      </w:pPr>
    </w:p>
    <w:p>
      <w:pPr>
        <w:pStyle w:val="BodyText"/>
        <w:spacing w:before="1"/>
        <w:ind w:left="240" w:right="310"/>
      </w:pPr>
      <w:r>
        <w:rPr/>
        <w:t>This guidance covers both primary and secondary schools. There is no specific direction about </w:t>
      </w:r>
      <w:r>
        <w:rPr>
          <w:u w:val="single"/>
        </w:rPr>
        <w:t>when</w:t>
      </w:r>
      <w:r>
        <w:rPr/>
        <w:t> LGBT content should be taught and the guidance does not say that it should be introduced to primary school children. This decision is ultimately at the discretion of the school governors.</w:t>
      </w:r>
    </w:p>
    <w:p>
      <w:pPr>
        <w:spacing w:after="0"/>
        <w:sectPr>
          <w:pgSz w:w="11910" w:h="16840"/>
          <w:pgMar w:header="715" w:footer="1445" w:top="1320" w:bottom="164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90"/>
        <w:ind w:left="240" w:right="0" w:firstLine="0"/>
        <w:jc w:val="left"/>
        <w:rPr>
          <w:b/>
          <w:sz w:val="32"/>
        </w:rPr>
      </w:pPr>
      <w:r>
        <w:rPr>
          <w:b/>
          <w:sz w:val="32"/>
        </w:rPr>
        <w:t>What about parents?</w:t>
      </w:r>
    </w:p>
    <w:p>
      <w:pPr>
        <w:pStyle w:val="BodyText"/>
        <w:spacing w:before="277"/>
        <w:ind w:left="240"/>
      </w:pPr>
      <w:r>
        <w:rPr/>
        <w:t>The draft guidance says:</w:t>
      </w:r>
    </w:p>
    <w:p>
      <w:pPr>
        <w:pStyle w:val="BodyText"/>
      </w:pPr>
    </w:p>
    <w:p>
      <w:pPr>
        <w:pStyle w:val="BodyText"/>
        <w:ind w:left="960" w:right="405"/>
      </w:pPr>
      <w:r>
        <w:rPr/>
        <w:t>Schools should ensure that, when they consult with parents, they provide examples of the resources that they plan to use as this can be reassuring for parents and enables them to continue the conversations started in class at home. (24)</w:t>
      </w:r>
    </w:p>
    <w:p>
      <w:pPr>
        <w:pStyle w:val="BodyText"/>
      </w:pPr>
    </w:p>
    <w:p>
      <w:pPr>
        <w:pStyle w:val="BodyText"/>
        <w:ind w:left="805" w:right="805"/>
        <w:jc w:val="center"/>
      </w:pPr>
      <w:r>
        <w:rPr/>
        <w:t>* * *</w:t>
      </w:r>
    </w:p>
    <w:p>
      <w:pPr>
        <w:pStyle w:val="BodyText"/>
      </w:pPr>
    </w:p>
    <w:p>
      <w:pPr>
        <w:pStyle w:val="BodyText"/>
        <w:ind w:left="240" w:right="458"/>
      </w:pPr>
      <w:r>
        <w:rPr/>
        <w:t>In the next section on Catholic RSE, we will examine the expectations of Church about the delivery of RSE within a Catholic context and then, building on this statutory guidance, we will draw some conclusions about the principles at the heart of a Catholic RSE programme.</w:t>
      </w:r>
    </w:p>
    <w:p>
      <w:pPr>
        <w:pStyle w:val="BodyText"/>
      </w:pPr>
    </w:p>
    <w:p>
      <w:pPr>
        <w:pStyle w:val="BodyText"/>
        <w:ind w:left="240" w:right="338"/>
      </w:pPr>
      <w:r>
        <w:rPr/>
        <w:t>The full draft guidance from the Department of Education can be found in </w:t>
      </w:r>
      <w:r>
        <w:rPr>
          <w:b/>
          <w:color w:val="EC7C30"/>
        </w:rPr>
        <w:t>Appendix One </w:t>
      </w:r>
      <w:r>
        <w:rPr/>
        <w:t>of this document.</w:t>
      </w:r>
    </w:p>
    <w:p>
      <w:pPr>
        <w:spacing w:after="0"/>
        <w:sectPr>
          <w:pgSz w:w="11910" w:h="16840"/>
          <w:pgMar w:header="715" w:footer="1445" w:top="1320" w:bottom="1640" w:left="1200" w:right="1200"/>
        </w:sectPr>
      </w:pPr>
    </w:p>
    <w:p>
      <w:pPr>
        <w:pStyle w:val="BodyText"/>
        <w:spacing w:before="10"/>
        <w:rPr>
          <w:sz w:val="21"/>
        </w:rPr>
      </w:pPr>
    </w:p>
    <w:p>
      <w:pPr>
        <w:spacing w:line="1088" w:lineRule="exact" w:before="0"/>
        <w:ind w:left="240" w:right="0" w:firstLine="0"/>
        <w:jc w:val="left"/>
        <w:rPr>
          <w:sz w:val="96"/>
        </w:rPr>
      </w:pPr>
      <w:bookmarkStart w:name="_bookmark2" w:id="3"/>
      <w:bookmarkEnd w:id="3"/>
      <w:r>
        <w:rPr/>
      </w:r>
      <w:r>
        <w:rPr>
          <w:color w:val="FF8024"/>
          <w:w w:val="70"/>
          <w:sz w:val="96"/>
        </w:rPr>
        <w:t>Catholic RSE</w:t>
      </w:r>
    </w:p>
    <w:p>
      <w:pPr>
        <w:spacing w:line="259" w:lineRule="auto" w:before="428"/>
        <w:ind w:left="795" w:right="223" w:firstLine="510"/>
        <w:jc w:val="left"/>
        <w:rPr>
          <w:i/>
          <w:sz w:val="20"/>
        </w:rPr>
      </w:pPr>
      <w:r>
        <w:rPr>
          <w:i/>
          <w:sz w:val="20"/>
        </w:rPr>
        <w:t>(Note: in discussing ‘Catholic RSE’ we are referring to ‘Relationships Education’ (primary), </w:t>
      </w:r>
      <w:r>
        <w:rPr>
          <w:i/>
          <w:sz w:val="20"/>
        </w:rPr>
        <w:t>‘Relationships and Sex Education’ (secondary) </w:t>
      </w:r>
      <w:r>
        <w:rPr>
          <w:i/>
          <w:sz w:val="20"/>
          <w:u w:val="single"/>
        </w:rPr>
        <w:t>and</w:t>
      </w:r>
      <w:r>
        <w:rPr>
          <w:i/>
          <w:sz w:val="20"/>
        </w:rPr>
        <w:t> ‘Health Education’ within a Catholic context)</w:t>
      </w:r>
    </w:p>
    <w:p>
      <w:pPr>
        <w:pStyle w:val="BodyText"/>
        <w:spacing w:before="10"/>
        <w:rPr>
          <w:i/>
          <w:sz w:val="17"/>
        </w:rPr>
      </w:pPr>
    </w:p>
    <w:p>
      <w:pPr>
        <w:pStyle w:val="BodyText"/>
        <w:spacing w:line="259" w:lineRule="auto" w:before="92"/>
        <w:ind w:left="240" w:right="525"/>
      </w:pPr>
      <w:r>
        <w:rPr/>
        <w:t>In recent years, the Church has produced three documents which all pertain to the education of young people in Relationship and Sex Education:</w:t>
      </w:r>
    </w:p>
    <w:p>
      <w:pPr>
        <w:pStyle w:val="BodyText"/>
        <w:spacing w:before="10"/>
        <w:rPr>
          <w:sz w:val="25"/>
        </w:rPr>
      </w:pPr>
    </w:p>
    <w:p>
      <w:pPr>
        <w:pStyle w:val="ListParagraph"/>
        <w:numPr>
          <w:ilvl w:val="0"/>
          <w:numId w:val="2"/>
        </w:numPr>
        <w:tabs>
          <w:tab w:pos="666" w:val="left" w:leader="none"/>
        </w:tabs>
        <w:spacing w:line="256" w:lineRule="auto" w:before="0" w:after="0"/>
        <w:ind w:left="666" w:right="262" w:hanging="360"/>
        <w:jc w:val="both"/>
        <w:rPr>
          <w:sz w:val="24"/>
        </w:rPr>
      </w:pPr>
      <w:r>
        <w:rPr>
          <w:b/>
          <w:sz w:val="24"/>
        </w:rPr>
        <w:t>Amoris Laetitia (The Joy of Love) </w:t>
      </w:r>
      <w:r>
        <w:rPr>
          <w:sz w:val="24"/>
        </w:rPr>
        <w:t>is Pope Francis’ Apostolic Exhortation about love in the family. Chapter 7, in particular, is titled ‘Towards a Better Education of Children’;</w:t>
      </w:r>
    </w:p>
    <w:p>
      <w:pPr>
        <w:pStyle w:val="ListParagraph"/>
        <w:numPr>
          <w:ilvl w:val="0"/>
          <w:numId w:val="2"/>
        </w:numPr>
        <w:tabs>
          <w:tab w:pos="665" w:val="left" w:leader="none"/>
          <w:tab w:pos="666" w:val="left" w:leader="none"/>
        </w:tabs>
        <w:spacing w:line="256" w:lineRule="auto" w:before="4" w:after="0"/>
        <w:ind w:left="666" w:right="822" w:hanging="360"/>
        <w:jc w:val="left"/>
        <w:rPr>
          <w:sz w:val="24"/>
        </w:rPr>
      </w:pPr>
      <w:r>
        <w:rPr>
          <w:b/>
          <w:sz w:val="24"/>
        </w:rPr>
        <w:t>Learning to Love </w:t>
      </w:r>
      <w:r>
        <w:rPr>
          <w:sz w:val="24"/>
        </w:rPr>
        <w:t>is a teaching document from the Bishops of England and Wales which provides “An introduction to Catholic Relationship and Sex Education for Catholic</w:t>
      </w:r>
      <w:r>
        <w:rPr>
          <w:spacing w:val="-1"/>
          <w:sz w:val="24"/>
        </w:rPr>
        <w:t> </w:t>
      </w:r>
      <w:r>
        <w:rPr>
          <w:sz w:val="24"/>
        </w:rPr>
        <w:t>educators”;</w:t>
      </w:r>
    </w:p>
    <w:p>
      <w:pPr>
        <w:pStyle w:val="ListParagraph"/>
        <w:numPr>
          <w:ilvl w:val="0"/>
          <w:numId w:val="2"/>
        </w:numPr>
        <w:tabs>
          <w:tab w:pos="665" w:val="left" w:leader="none"/>
          <w:tab w:pos="666" w:val="left" w:leader="none"/>
        </w:tabs>
        <w:spacing w:line="259" w:lineRule="auto" w:before="5" w:after="0"/>
        <w:ind w:left="666" w:right="594" w:hanging="360"/>
        <w:jc w:val="left"/>
        <w:rPr>
          <w:sz w:val="24"/>
        </w:rPr>
      </w:pPr>
      <w:r>
        <w:rPr>
          <w:b/>
          <w:sz w:val="24"/>
        </w:rPr>
        <w:t>A Model Catholic RSE Curriculum </w:t>
      </w:r>
      <w:r>
        <w:rPr>
          <w:sz w:val="24"/>
        </w:rPr>
        <w:t>is a guidance document produced by the Catholic Education Service for schools to help them produce their own programme of study that is fit for purpose. It is highlighted in the DFE draft statutory guidance as a work of good</w:t>
      </w:r>
      <w:r>
        <w:rPr>
          <w:spacing w:val="-3"/>
          <w:sz w:val="24"/>
        </w:rPr>
        <w:t> </w:t>
      </w:r>
      <w:r>
        <w:rPr>
          <w:sz w:val="24"/>
        </w:rPr>
        <w:t>practice.</w:t>
      </w:r>
    </w:p>
    <w:p>
      <w:pPr>
        <w:pStyle w:val="BodyText"/>
        <w:spacing w:before="6"/>
        <w:rPr>
          <w:sz w:val="25"/>
        </w:rPr>
      </w:pPr>
    </w:p>
    <w:p>
      <w:pPr>
        <w:pStyle w:val="BodyText"/>
        <w:spacing w:line="259" w:lineRule="auto"/>
        <w:ind w:left="240" w:right="445"/>
      </w:pPr>
      <w:r>
        <w:rPr/>
        <w:t>In addition, many dioceses have also produced curriculum guidance documents for their own schools.</w:t>
      </w:r>
    </w:p>
    <w:p>
      <w:pPr>
        <w:pStyle w:val="BodyText"/>
        <w:spacing w:before="9"/>
        <w:rPr>
          <w:sz w:val="25"/>
        </w:rPr>
      </w:pPr>
    </w:p>
    <w:p>
      <w:pPr>
        <w:pStyle w:val="BodyText"/>
        <w:spacing w:line="259" w:lineRule="auto"/>
        <w:ind w:left="240" w:right="537"/>
      </w:pPr>
      <w:r>
        <w:rPr/>
        <w:t>In developing our understanding of what makes an effective Catholic RSE programme, we have drawn from these documents as well as Saint John Paul II’s foundational, ground-breaking teaching on the meaning and purpose of the ‘body’, known as ‘The Theology of the Body’.</w:t>
      </w:r>
    </w:p>
    <w:p>
      <w:pPr>
        <w:pStyle w:val="BodyText"/>
        <w:spacing w:before="9"/>
        <w:rPr>
          <w:sz w:val="25"/>
        </w:rPr>
      </w:pPr>
    </w:p>
    <w:p>
      <w:pPr>
        <w:pStyle w:val="BodyText"/>
        <w:spacing w:before="1"/>
        <w:ind w:left="240"/>
      </w:pPr>
      <w:r>
        <w:rPr/>
        <w:t>In the introduction to Learning to Love, the Bishops said:</w:t>
      </w:r>
    </w:p>
    <w:p>
      <w:pPr>
        <w:pStyle w:val="BodyText"/>
        <w:spacing w:before="9"/>
        <w:rPr>
          <w:sz w:val="27"/>
        </w:rPr>
      </w:pPr>
    </w:p>
    <w:p>
      <w:pPr>
        <w:pStyle w:val="BodyText"/>
        <w:spacing w:line="259" w:lineRule="auto" w:before="1"/>
        <w:ind w:left="960" w:right="258"/>
      </w:pPr>
      <w:r>
        <w:rPr/>
        <w:t>We expect all Catholic schools to ensure that space is made in the curriculum for Relationship and Sex Education (RSE). The content of what is taught must express the teaching of the Church, and should be delivered to suit the age of the children or young people to whom it is addressed. We all need to recognise that without providing an education in this area, we leave many young people vulnerable to receiving their education second-hand, and often from sources which damage them and their capacity to love.</w:t>
      </w:r>
    </w:p>
    <w:p>
      <w:pPr>
        <w:pStyle w:val="Heading8"/>
        <w:spacing w:line="274" w:lineRule="exact" w:before="0"/>
        <w:ind w:left="960"/>
      </w:pPr>
      <w:r>
        <w:rPr/>
        <w:t>Learning to Love, Introduction</w:t>
      </w:r>
    </w:p>
    <w:p>
      <w:pPr>
        <w:pStyle w:val="BodyText"/>
        <w:spacing w:before="9"/>
        <w:rPr>
          <w:b/>
          <w:sz w:val="27"/>
        </w:rPr>
      </w:pPr>
    </w:p>
    <w:p>
      <w:pPr>
        <w:pStyle w:val="BodyText"/>
        <w:spacing w:before="1"/>
        <w:ind w:left="240"/>
      </w:pPr>
      <w:r>
        <w:rPr/>
        <w:t>And in the introduction to the model Catholic RSE curriculum, the CES said:</w:t>
      </w:r>
    </w:p>
    <w:p>
      <w:pPr>
        <w:pStyle w:val="BodyText"/>
        <w:spacing w:before="8"/>
        <w:rPr>
          <w:sz w:val="27"/>
        </w:rPr>
      </w:pPr>
    </w:p>
    <w:p>
      <w:pPr>
        <w:pStyle w:val="BodyText"/>
        <w:ind w:left="960" w:right="351"/>
      </w:pPr>
      <w:r>
        <w:rPr/>
        <w:t>…any teaching about love and sexual relationships in a Catholic school must be rooted in the Catholic Church’s teaching about what it is to be truly human</w:t>
      </w:r>
    </w:p>
    <w:p>
      <w:pPr>
        <w:spacing w:after="0"/>
        <w:sectPr>
          <w:pgSz w:w="11910" w:h="16840"/>
          <w:pgMar w:header="715" w:footer="1445" w:top="1320" w:bottom="1640" w:left="1200" w:right="1200"/>
        </w:sectPr>
      </w:pPr>
    </w:p>
    <w:p>
      <w:pPr>
        <w:pStyle w:val="BodyText"/>
        <w:rPr>
          <w:sz w:val="20"/>
        </w:rPr>
      </w:pPr>
    </w:p>
    <w:p>
      <w:pPr>
        <w:pStyle w:val="BodyText"/>
        <w:rPr>
          <w:sz w:val="20"/>
        </w:rPr>
      </w:pPr>
    </w:p>
    <w:p>
      <w:pPr>
        <w:pStyle w:val="BodyText"/>
        <w:spacing w:before="5"/>
        <w:rPr>
          <w:sz w:val="21"/>
        </w:rPr>
      </w:pPr>
    </w:p>
    <w:p>
      <w:pPr>
        <w:pStyle w:val="BodyText"/>
        <w:spacing w:before="92"/>
        <w:ind w:left="960" w:right="1286"/>
      </w:pPr>
      <w:r>
        <w:rPr/>
        <w:t>in Christ, what it means to live well in relationship with others and be presented within a positive framework.”</w:t>
      </w:r>
    </w:p>
    <w:p>
      <w:pPr>
        <w:pStyle w:val="Heading8"/>
        <w:spacing w:before="0"/>
        <w:ind w:left="960"/>
      </w:pPr>
      <w:r>
        <w:rPr/>
        <w:t>A Model Catholic RSE Curriculum (CES)</w:t>
      </w:r>
    </w:p>
    <w:p>
      <w:pPr>
        <w:pStyle w:val="BodyText"/>
        <w:rPr>
          <w:b/>
          <w:sz w:val="26"/>
        </w:rPr>
      </w:pPr>
    </w:p>
    <w:p>
      <w:pPr>
        <w:pStyle w:val="BodyText"/>
        <w:spacing w:before="8"/>
        <w:rPr>
          <w:b/>
          <w:sz w:val="25"/>
        </w:rPr>
      </w:pPr>
    </w:p>
    <w:p>
      <w:pPr>
        <w:spacing w:before="1"/>
        <w:ind w:left="240" w:right="0" w:firstLine="0"/>
        <w:jc w:val="left"/>
        <w:rPr>
          <w:b/>
          <w:sz w:val="32"/>
        </w:rPr>
      </w:pPr>
      <w:r>
        <w:rPr>
          <w:b/>
          <w:sz w:val="32"/>
        </w:rPr>
        <w:t>A Model Curriculum</w:t>
      </w:r>
    </w:p>
    <w:p>
      <w:pPr>
        <w:pStyle w:val="BodyText"/>
        <w:spacing w:line="259" w:lineRule="auto" w:before="298"/>
        <w:ind w:left="240" w:right="524"/>
      </w:pPr>
      <w:r>
        <w:rPr/>
        <w:t>In their Model Curriculum, the CES provide a proposed structure for delivering a Catholic RSE programme, which can be mapped across primary and secondary education within a spiral learning curriculum that meets children and young people where they are at. It has three broad areas of focus:</w:t>
      </w:r>
    </w:p>
    <w:p>
      <w:pPr>
        <w:pStyle w:val="BodyText"/>
        <w:spacing w:before="10"/>
        <w:rPr>
          <w:sz w:val="25"/>
        </w:rPr>
      </w:pPr>
    </w:p>
    <w:p>
      <w:pPr>
        <w:pStyle w:val="BodyText"/>
        <w:spacing w:line="259" w:lineRule="auto"/>
        <w:ind w:left="960" w:right="377"/>
      </w:pPr>
      <w:r>
        <w:rPr>
          <w:b/>
        </w:rPr>
        <w:t>Created and Loved by God </w:t>
      </w:r>
      <w:r>
        <w:rPr/>
        <w:t>(this explores the individual). The Christian imperative to love self, made in the image and likeness of God, shows an understanding of the importance of valuing and understanding oneself as the basis for personal relationships.</w:t>
      </w:r>
    </w:p>
    <w:p>
      <w:pPr>
        <w:pStyle w:val="BodyText"/>
        <w:spacing w:before="9"/>
        <w:rPr>
          <w:sz w:val="25"/>
        </w:rPr>
      </w:pPr>
    </w:p>
    <w:p>
      <w:pPr>
        <w:pStyle w:val="BodyText"/>
        <w:spacing w:line="259" w:lineRule="auto"/>
        <w:ind w:left="960" w:right="312"/>
      </w:pPr>
      <w:r>
        <w:rPr>
          <w:b/>
        </w:rPr>
        <w:t>Created to Love Others (</w:t>
      </w:r>
      <w:r>
        <w:rPr/>
        <w:t>this explores an individual’s relationships with others) God is love. We are created out of love and for love. The command to love is the basis of all Christian morality.</w:t>
      </w:r>
    </w:p>
    <w:p>
      <w:pPr>
        <w:pStyle w:val="BodyText"/>
        <w:spacing w:before="10"/>
        <w:rPr>
          <w:sz w:val="25"/>
        </w:rPr>
      </w:pPr>
    </w:p>
    <w:p>
      <w:pPr>
        <w:pStyle w:val="BodyText"/>
        <w:spacing w:line="259" w:lineRule="auto"/>
        <w:ind w:left="960" w:right="299"/>
      </w:pPr>
      <w:r>
        <w:rPr>
          <w:b/>
        </w:rPr>
        <w:t>Created to Live in Community </w:t>
      </w:r>
      <w:r>
        <w:rPr/>
        <w:t>– local, national &amp; global (this explores the individual’s relationships with the wider world) Human beings are relational by nature and live in the wider community. Through our exchange with others, our mutual service and through dialogue, we attempt to proclaim and extend the Kingdom of God for the good of individuals and the good of society.</w:t>
      </w:r>
    </w:p>
    <w:p>
      <w:pPr>
        <w:pStyle w:val="BodyText"/>
        <w:spacing w:before="9"/>
        <w:rPr>
          <w:sz w:val="25"/>
        </w:rPr>
      </w:pPr>
    </w:p>
    <w:p>
      <w:pPr>
        <w:pStyle w:val="BodyText"/>
        <w:spacing w:line="259" w:lineRule="auto"/>
        <w:ind w:left="240" w:right="271"/>
      </w:pPr>
      <w:r>
        <w:rPr/>
        <w:t>Other dioceses have produced different, though similar, templates for how to explore RSE within a Catholic framework.</w:t>
      </w:r>
    </w:p>
    <w:p>
      <w:pPr>
        <w:pStyle w:val="BodyText"/>
        <w:spacing w:before="10"/>
        <w:rPr>
          <w:sz w:val="25"/>
        </w:rPr>
      </w:pPr>
    </w:p>
    <w:p>
      <w:pPr>
        <w:pStyle w:val="BodyText"/>
        <w:spacing w:before="1"/>
        <w:ind w:left="240" w:right="352"/>
      </w:pPr>
      <w:r>
        <w:rPr/>
        <w:t>The full Model Catholic RSE Curriculum from the Catholic Education Service can be found in </w:t>
      </w:r>
      <w:r>
        <w:rPr>
          <w:b/>
          <w:color w:val="EC7C30"/>
        </w:rPr>
        <w:t>Appendix Two </w:t>
      </w:r>
      <w:r>
        <w:rPr/>
        <w:t>of this document.</w:t>
      </w:r>
    </w:p>
    <w:p>
      <w:pPr>
        <w:pStyle w:val="BodyText"/>
      </w:pPr>
    </w:p>
    <w:p>
      <w:pPr>
        <w:pStyle w:val="BodyText"/>
        <w:ind w:left="805" w:right="805"/>
        <w:jc w:val="center"/>
      </w:pPr>
      <w:r>
        <w:rPr/>
        <w:t>* * *</w:t>
      </w:r>
    </w:p>
    <w:p>
      <w:pPr>
        <w:pStyle w:val="BodyText"/>
        <w:spacing w:before="10"/>
        <w:rPr>
          <w:sz w:val="25"/>
        </w:rPr>
      </w:pPr>
    </w:p>
    <w:p>
      <w:pPr>
        <w:pStyle w:val="BodyText"/>
        <w:spacing w:line="259" w:lineRule="auto"/>
        <w:ind w:left="240" w:right="444"/>
        <w:rPr>
          <w:b/>
        </w:rPr>
      </w:pPr>
      <w:r>
        <w:rPr/>
        <w:t>Through our extensive work delivering RSE within a Catholic context in schools in England and Wales over the past 12 years, drawing on the draft statutory guidance and the various Church documents, we have created </w:t>
      </w:r>
      <w:r>
        <w:rPr>
          <w:b/>
        </w:rPr>
        <w:t>10 Principles for a Catholic RSE Programme.</w:t>
      </w:r>
    </w:p>
    <w:p>
      <w:pPr>
        <w:spacing w:after="0" w:line="259" w:lineRule="auto"/>
        <w:sectPr>
          <w:pgSz w:w="11910" w:h="16840"/>
          <w:pgMar w:header="715" w:footer="1445" w:top="1320" w:bottom="1640" w:left="1200" w:right="1200"/>
        </w:sectPr>
      </w:pPr>
    </w:p>
    <w:p>
      <w:pPr>
        <w:pStyle w:val="BodyText"/>
        <w:spacing w:before="4"/>
        <w:rPr>
          <w:b/>
          <w:sz w:val="22"/>
        </w:rPr>
      </w:pPr>
    </w:p>
    <w:p>
      <w:pPr>
        <w:spacing w:line="1088" w:lineRule="exact" w:before="0"/>
        <w:ind w:left="240" w:right="0" w:firstLine="0"/>
        <w:jc w:val="left"/>
        <w:rPr>
          <w:sz w:val="96"/>
        </w:rPr>
      </w:pPr>
      <w:bookmarkStart w:name="_bookmark3" w:id="4"/>
      <w:bookmarkEnd w:id="4"/>
      <w:r>
        <w:rPr/>
      </w:r>
      <w:r>
        <w:rPr>
          <w:color w:val="EC7C30"/>
          <w:w w:val="60"/>
          <w:sz w:val="96"/>
        </w:rPr>
        <w:t>Ten Ten’s 10</w:t>
      </w:r>
      <w:r>
        <w:rPr>
          <w:color w:val="EC7C30"/>
          <w:spacing w:val="-82"/>
          <w:w w:val="60"/>
          <w:sz w:val="96"/>
        </w:rPr>
        <w:t> </w:t>
      </w:r>
      <w:r>
        <w:rPr>
          <w:color w:val="EC7C30"/>
          <w:w w:val="60"/>
          <w:sz w:val="96"/>
        </w:rPr>
        <w:t>PRINCIPLES</w:t>
      </w:r>
    </w:p>
    <w:p>
      <w:pPr>
        <w:spacing w:before="123"/>
        <w:ind w:left="240" w:right="0" w:firstLine="0"/>
        <w:jc w:val="left"/>
        <w:rPr>
          <w:sz w:val="96"/>
        </w:rPr>
      </w:pPr>
      <w:r>
        <w:rPr>
          <w:color w:val="EC7C30"/>
          <w:w w:val="70"/>
          <w:sz w:val="96"/>
        </w:rPr>
        <w:t>for</w:t>
      </w:r>
      <w:r>
        <w:rPr>
          <w:color w:val="EC7C30"/>
          <w:spacing w:val="-110"/>
          <w:w w:val="70"/>
          <w:sz w:val="96"/>
        </w:rPr>
        <w:t> </w:t>
      </w:r>
      <w:r>
        <w:rPr>
          <w:color w:val="EC7C30"/>
          <w:w w:val="70"/>
          <w:sz w:val="96"/>
        </w:rPr>
        <w:t>a</w:t>
      </w:r>
      <w:r>
        <w:rPr>
          <w:color w:val="EC7C30"/>
          <w:spacing w:val="-109"/>
          <w:w w:val="70"/>
          <w:sz w:val="96"/>
        </w:rPr>
        <w:t> </w:t>
      </w:r>
      <w:r>
        <w:rPr>
          <w:color w:val="EC7C30"/>
          <w:w w:val="70"/>
          <w:sz w:val="96"/>
        </w:rPr>
        <w:t>Catholic</w:t>
      </w:r>
      <w:r>
        <w:rPr>
          <w:color w:val="EC7C30"/>
          <w:spacing w:val="-109"/>
          <w:w w:val="70"/>
          <w:sz w:val="96"/>
        </w:rPr>
        <w:t> </w:t>
      </w:r>
      <w:r>
        <w:rPr>
          <w:color w:val="EC7C30"/>
          <w:w w:val="70"/>
          <w:sz w:val="96"/>
        </w:rPr>
        <w:t>RSE</w:t>
      </w:r>
      <w:r>
        <w:rPr>
          <w:color w:val="EC7C30"/>
          <w:spacing w:val="-109"/>
          <w:w w:val="70"/>
          <w:sz w:val="96"/>
        </w:rPr>
        <w:t> </w:t>
      </w:r>
      <w:r>
        <w:rPr>
          <w:color w:val="EC7C30"/>
          <w:w w:val="70"/>
          <w:sz w:val="96"/>
        </w:rPr>
        <w:t>Programme</w:t>
      </w:r>
    </w:p>
    <w:p>
      <w:pPr>
        <w:spacing w:before="634"/>
        <w:ind w:left="240" w:right="0" w:firstLine="0"/>
        <w:jc w:val="left"/>
        <w:rPr>
          <w:b/>
          <w:sz w:val="28"/>
        </w:rPr>
      </w:pPr>
      <w:r>
        <w:rPr>
          <w:b/>
          <w:sz w:val="28"/>
        </w:rPr>
        <w:t>#1 Our bodies are good!</w:t>
      </w:r>
    </w:p>
    <w:p>
      <w:pPr>
        <w:pStyle w:val="BodyText"/>
        <w:rPr>
          <w:b/>
          <w:sz w:val="28"/>
        </w:rPr>
      </w:pPr>
    </w:p>
    <w:p>
      <w:pPr>
        <w:pStyle w:val="BodyText"/>
        <w:ind w:left="240"/>
      </w:pPr>
      <w:r>
        <w:rPr/>
        <w:t>Saint John Paul II said:</w:t>
      </w:r>
    </w:p>
    <w:p>
      <w:pPr>
        <w:pStyle w:val="BodyText"/>
        <w:spacing w:before="9"/>
        <w:rPr>
          <w:sz w:val="27"/>
        </w:rPr>
      </w:pPr>
    </w:p>
    <w:p>
      <w:pPr>
        <w:pStyle w:val="BodyText"/>
        <w:spacing w:line="259" w:lineRule="auto"/>
        <w:ind w:left="960" w:right="1086"/>
      </w:pPr>
      <w:r>
        <w:rPr/>
        <w:t>“The body - in fact, only the body - is capable of making visible what is invisible, the spiritual and the divine.”</w:t>
      </w:r>
    </w:p>
    <w:p>
      <w:pPr>
        <w:pStyle w:val="BodyText"/>
        <w:spacing w:before="10"/>
        <w:rPr>
          <w:sz w:val="25"/>
        </w:rPr>
      </w:pPr>
    </w:p>
    <w:p>
      <w:pPr>
        <w:pStyle w:val="BodyText"/>
        <w:spacing w:line="259" w:lineRule="auto"/>
        <w:ind w:left="240" w:right="244"/>
      </w:pPr>
      <w:r>
        <w:rPr/>
        <w:t>We need our physical bodies in order to relate to others, to love others. In this quote, John Paul II highlights the dignity inherent in our physical bodies and the respect that they deserve; they make visible the invisible – the spiritual dimension of the human person.</w:t>
      </w:r>
    </w:p>
    <w:p>
      <w:pPr>
        <w:pStyle w:val="BodyText"/>
        <w:spacing w:before="10"/>
        <w:rPr>
          <w:sz w:val="25"/>
        </w:rPr>
      </w:pPr>
    </w:p>
    <w:p>
      <w:pPr>
        <w:pStyle w:val="BodyText"/>
        <w:spacing w:line="259" w:lineRule="auto"/>
        <w:ind w:left="240" w:right="765"/>
      </w:pPr>
      <w:r>
        <w:rPr/>
        <w:t>Let’s put this another way. A human person does not </w:t>
      </w:r>
      <w:r>
        <w:rPr>
          <w:u w:val="single"/>
        </w:rPr>
        <w:t>have</w:t>
      </w:r>
      <w:r>
        <w:rPr/>
        <w:t> a body. The body </w:t>
      </w:r>
      <w:r>
        <w:rPr>
          <w:u w:val="single"/>
        </w:rPr>
        <w:t>expresses</w:t>
      </w:r>
      <w:r>
        <w:rPr/>
        <w:t> the person. We exist in a culture which attempts to depersonalise the body or reject the gift of the body in its entirety as part of the person. A Catholic RSE programme should resist this vision of the human person.</w:t>
      </w:r>
    </w:p>
    <w:p>
      <w:pPr>
        <w:pStyle w:val="BodyText"/>
        <w:spacing w:before="9"/>
        <w:rPr>
          <w:sz w:val="25"/>
        </w:rPr>
      </w:pPr>
    </w:p>
    <w:p>
      <w:pPr>
        <w:pStyle w:val="BodyText"/>
        <w:spacing w:line="259" w:lineRule="auto"/>
        <w:ind w:left="240" w:right="284"/>
      </w:pPr>
      <w:r>
        <w:rPr/>
        <w:t>This understanding of the body filters down into all areas of teaching within RSE: our physical health and hygiene, bodily autonomy, consent, puberty and physical changes, gender identity, menstruation and sexual intimacy. We are our bodies and our bodies are good!</w:t>
      </w:r>
    </w:p>
    <w:p>
      <w:pPr>
        <w:pStyle w:val="BodyText"/>
        <w:rPr>
          <w:sz w:val="26"/>
        </w:rPr>
      </w:pPr>
    </w:p>
    <w:p>
      <w:pPr>
        <w:pStyle w:val="BodyText"/>
        <w:spacing w:before="5"/>
        <w:rPr>
          <w:sz w:val="34"/>
        </w:rPr>
      </w:pPr>
    </w:p>
    <w:p>
      <w:pPr>
        <w:spacing w:line="259" w:lineRule="auto" w:before="1"/>
        <w:ind w:left="240" w:right="490" w:firstLine="0"/>
        <w:jc w:val="left"/>
        <w:rPr>
          <w:b/>
          <w:sz w:val="28"/>
        </w:rPr>
      </w:pPr>
      <w:r>
        <w:rPr>
          <w:b/>
          <w:sz w:val="28"/>
        </w:rPr>
        <w:t>#2 As we grow in our loving relationships with others, we become close to the image and likeness of God.</w:t>
      </w:r>
    </w:p>
    <w:p>
      <w:pPr>
        <w:pStyle w:val="BodyText"/>
        <w:spacing w:before="8"/>
        <w:rPr>
          <w:b/>
          <w:sz w:val="25"/>
        </w:rPr>
      </w:pPr>
    </w:p>
    <w:p>
      <w:pPr>
        <w:pStyle w:val="BodyText"/>
        <w:ind w:left="240"/>
      </w:pPr>
      <w:r>
        <w:rPr/>
        <w:t>We are ‘made in the image and likeness of God’. But what does this mean?</w:t>
      </w:r>
    </w:p>
    <w:p>
      <w:pPr>
        <w:pStyle w:val="BodyText"/>
        <w:spacing w:before="9"/>
        <w:rPr>
          <w:sz w:val="27"/>
        </w:rPr>
      </w:pPr>
    </w:p>
    <w:p>
      <w:pPr>
        <w:pStyle w:val="BodyText"/>
        <w:spacing w:line="259" w:lineRule="auto"/>
        <w:ind w:left="239" w:right="699"/>
      </w:pPr>
      <w:r>
        <w:rPr/>
        <w:t>God is not one person. God is three persons – God the Father, God the Son and God the Holy Spirit. God is a relationship of love.</w:t>
      </w:r>
    </w:p>
    <w:p>
      <w:pPr>
        <w:pStyle w:val="BodyText"/>
        <w:spacing w:before="10"/>
        <w:rPr>
          <w:sz w:val="25"/>
        </w:rPr>
      </w:pPr>
    </w:p>
    <w:p>
      <w:pPr>
        <w:pStyle w:val="BodyText"/>
        <w:spacing w:line="259" w:lineRule="auto"/>
        <w:ind w:left="239" w:right="288"/>
        <w:jc w:val="both"/>
      </w:pPr>
      <w:r>
        <w:rPr/>
        <w:t>If God is a relationship of love, then we are most in His image and likeness when we are in loving relationships. Where do we find that? Well, for many we become closer to the image and likeness of God through our families, through our close friendships,</w:t>
      </w:r>
    </w:p>
    <w:p>
      <w:pPr>
        <w:spacing w:after="0" w:line="259" w:lineRule="auto"/>
        <w:jc w:val="both"/>
        <w:sectPr>
          <w:pgSz w:w="11910" w:h="16840"/>
          <w:pgMar w:header="715" w:footer="1445" w:top="1320" w:bottom="1640" w:left="1200" w:right="1200"/>
        </w:sectPr>
      </w:pPr>
    </w:p>
    <w:p>
      <w:pPr>
        <w:pStyle w:val="BodyText"/>
        <w:spacing w:before="6"/>
        <w:rPr>
          <w:sz w:val="11"/>
        </w:rPr>
      </w:pPr>
    </w:p>
    <w:p>
      <w:pPr>
        <w:pStyle w:val="BodyText"/>
        <w:spacing w:line="259" w:lineRule="auto" w:before="93"/>
        <w:ind w:left="240" w:right="337"/>
      </w:pPr>
      <w:r>
        <w:rPr/>
        <w:t>through our intimate relationships and when we reach out to others, even people we don’t know, with love.</w:t>
      </w:r>
    </w:p>
    <w:p>
      <w:pPr>
        <w:pStyle w:val="BodyText"/>
        <w:spacing w:before="10"/>
        <w:rPr>
          <w:sz w:val="25"/>
        </w:rPr>
      </w:pPr>
    </w:p>
    <w:p>
      <w:pPr>
        <w:pStyle w:val="BodyText"/>
        <w:spacing w:line="259" w:lineRule="auto"/>
        <w:ind w:left="240" w:right="284"/>
      </w:pPr>
      <w:r>
        <w:rPr/>
        <w:t>Therefore, a Catholic RSE programme should enable children and young people to understand the deep truth that their loving relationships (with family members, friends, colleagues, boyfriends and girlfriends, spouses and neighbours, both local and global) offer them a path of spiritual growth and bring them closer to being in the image and likeness of God.</w:t>
      </w:r>
    </w:p>
    <w:p>
      <w:pPr>
        <w:pStyle w:val="BodyText"/>
        <w:rPr>
          <w:sz w:val="26"/>
        </w:rPr>
      </w:pPr>
    </w:p>
    <w:p>
      <w:pPr>
        <w:pStyle w:val="BodyText"/>
        <w:rPr>
          <w:sz w:val="30"/>
        </w:rPr>
      </w:pPr>
    </w:p>
    <w:p>
      <w:pPr>
        <w:spacing w:before="0"/>
        <w:ind w:left="240" w:right="0" w:firstLine="0"/>
        <w:jc w:val="left"/>
        <w:rPr>
          <w:b/>
          <w:sz w:val="28"/>
        </w:rPr>
      </w:pPr>
      <w:r>
        <w:rPr>
          <w:b/>
          <w:sz w:val="28"/>
        </w:rPr>
        <w:t>#3 Catholic RSE should be about the whole person</w:t>
      </w:r>
    </w:p>
    <w:p>
      <w:pPr>
        <w:pStyle w:val="BodyText"/>
        <w:spacing w:before="1"/>
        <w:rPr>
          <w:b/>
          <w:sz w:val="28"/>
        </w:rPr>
      </w:pPr>
    </w:p>
    <w:p>
      <w:pPr>
        <w:pStyle w:val="BodyText"/>
        <w:spacing w:line="259" w:lineRule="auto"/>
        <w:ind w:left="239" w:right="259"/>
      </w:pPr>
      <w:r>
        <w:rPr/>
        <w:t>According to the draft DfE guidance, an RSE programme that is fit-for-purpose must cover a wide-range of topics relevant to the lives and experiences of young people. It is easy to quickly scan through the statutory guidance and see ‘hot topics’ such as ‘grooming’, ‘sexual exploitation’, ‘online abuse’, ‘sexual health’ and ‘gender identity’ jumping out from the page. However, a Catholic RSE programme should not simply deliver these lessons in isolation; instead they should be addressed within a wider, holistic view of the human person, one whose deepest identity and dignity is rooted in God (see principle</w:t>
      </w:r>
      <w:r>
        <w:rPr>
          <w:spacing w:val="-1"/>
        </w:rPr>
        <w:t> </w:t>
      </w:r>
      <w:r>
        <w:rPr/>
        <w:t>#5).</w:t>
      </w:r>
    </w:p>
    <w:p>
      <w:pPr>
        <w:pStyle w:val="BodyText"/>
        <w:rPr>
          <w:sz w:val="26"/>
        </w:rPr>
      </w:pPr>
    </w:p>
    <w:p>
      <w:pPr>
        <w:pStyle w:val="BodyText"/>
        <w:spacing w:before="5"/>
        <w:rPr>
          <w:sz w:val="34"/>
        </w:rPr>
      </w:pPr>
    </w:p>
    <w:p>
      <w:pPr>
        <w:spacing w:before="0"/>
        <w:ind w:left="240" w:right="0" w:firstLine="0"/>
        <w:jc w:val="left"/>
        <w:rPr>
          <w:b/>
          <w:sz w:val="28"/>
        </w:rPr>
      </w:pPr>
      <w:r>
        <w:rPr>
          <w:b/>
          <w:sz w:val="28"/>
        </w:rPr>
        <w:t>#4 Catholic RSE should be taught in partnership with parents</w:t>
      </w:r>
    </w:p>
    <w:p>
      <w:pPr>
        <w:pStyle w:val="BodyText"/>
        <w:rPr>
          <w:b/>
          <w:sz w:val="28"/>
        </w:rPr>
      </w:pPr>
    </w:p>
    <w:p>
      <w:pPr>
        <w:pStyle w:val="BodyText"/>
        <w:spacing w:line="259" w:lineRule="auto"/>
        <w:ind w:left="240" w:right="458"/>
      </w:pPr>
      <w:r>
        <w:rPr/>
        <w:t>One of the most distinctive features of a Catholic RSE programme should be emphasising the vital role that parents have in nurturing their children. In the document, “Who is responsible for teaching RSE?”, the Catholic Education Service said this:</w:t>
      </w:r>
    </w:p>
    <w:p>
      <w:pPr>
        <w:pStyle w:val="BodyText"/>
        <w:spacing w:before="9"/>
        <w:rPr>
          <w:sz w:val="25"/>
        </w:rPr>
      </w:pPr>
    </w:p>
    <w:p>
      <w:pPr>
        <w:pStyle w:val="BodyText"/>
        <w:spacing w:line="259" w:lineRule="auto"/>
        <w:ind w:left="960" w:right="288"/>
      </w:pPr>
      <w:r>
        <w:rPr/>
        <w:t>“Parents are the first educators of their children. It is their right and responsibility to inform and educate their children in matters relating to human growth and development, particularly sexual development.  Therefore, schools should always seek to work in partnership with parents and carers and the teaching offered by schools should complement and not replace their primary role. The Church has a special duty and right to educate as part of its mission, and a Catholic school is the principal means by which it assists parents in their duties.”</w:t>
      </w:r>
    </w:p>
    <w:p>
      <w:pPr>
        <w:pStyle w:val="BodyText"/>
        <w:spacing w:before="8"/>
        <w:rPr>
          <w:sz w:val="25"/>
        </w:rPr>
      </w:pPr>
    </w:p>
    <w:p>
      <w:pPr>
        <w:pStyle w:val="BodyText"/>
        <w:spacing w:line="259" w:lineRule="auto" w:before="1"/>
        <w:ind w:left="240" w:right="390"/>
      </w:pPr>
      <w:r>
        <w:rPr/>
        <w:t>Parents have the right to withdraw their children from ‘some or all of sex education delivered as part of statutory RSE’ (DfE Guidance 46). However, within a Catholic RSE programme, it is imperative that schools work in partnership with parents, providing information and guidance, and a collaborative approach to the teaching of the subject.</w:t>
      </w:r>
    </w:p>
    <w:p>
      <w:pPr>
        <w:spacing w:after="0" w:line="259" w:lineRule="auto"/>
        <w:sectPr>
          <w:pgSz w:w="11910" w:h="16840"/>
          <w:pgMar w:header="715" w:footer="1445" w:top="1320" w:bottom="164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line="259" w:lineRule="auto" w:before="91"/>
        <w:ind w:left="240" w:right="630" w:firstLine="0"/>
        <w:jc w:val="left"/>
        <w:rPr>
          <w:b/>
          <w:sz w:val="28"/>
        </w:rPr>
      </w:pPr>
      <w:r>
        <w:rPr>
          <w:b/>
          <w:sz w:val="28"/>
        </w:rPr>
        <w:t>#5 Our deepest identity is as a child of God - created chosen and loved by God</w:t>
      </w:r>
    </w:p>
    <w:p>
      <w:pPr>
        <w:pStyle w:val="BodyText"/>
        <w:spacing w:before="8"/>
        <w:rPr>
          <w:b/>
          <w:sz w:val="25"/>
        </w:rPr>
      </w:pPr>
    </w:p>
    <w:p>
      <w:pPr>
        <w:pStyle w:val="BodyText"/>
        <w:spacing w:line="259" w:lineRule="auto"/>
        <w:ind w:left="240" w:right="408"/>
        <w:jc w:val="both"/>
      </w:pPr>
      <w:r>
        <w:rPr/>
        <w:t>Children and young people have a deep need for identity and belonging. In its most negative form, this can lead to a tribalistic culture, such as gang membership. It can also lead young people to finding security by labelling themselves, or being labelled by others, in terms of sexual orientation, gender, race, etc.</w:t>
      </w:r>
    </w:p>
    <w:p>
      <w:pPr>
        <w:pStyle w:val="BodyText"/>
        <w:spacing w:before="10"/>
        <w:rPr>
          <w:sz w:val="25"/>
        </w:rPr>
      </w:pPr>
    </w:p>
    <w:p>
      <w:pPr>
        <w:pStyle w:val="BodyText"/>
        <w:spacing w:line="259" w:lineRule="auto"/>
        <w:ind w:left="240" w:right="391"/>
      </w:pPr>
      <w:r>
        <w:rPr/>
        <w:t>However, our identity as a child of God is deeper than our own self-understanding, our modes of attraction, or the way our actions or behaviour can put us in a box. It’s not that we should suppress or dismiss how anybody expresses or articulates their identity - it’s that we help children and young people to develop a deeper and more meaningful understanding that they are called to holiness. Everyone, without exception, is called the same high calling. We may have different challenges and different obstacles to overcome, but everyone is called personally by name.</w:t>
      </w:r>
    </w:p>
    <w:p>
      <w:pPr>
        <w:pStyle w:val="BodyText"/>
        <w:rPr>
          <w:sz w:val="26"/>
        </w:rPr>
      </w:pPr>
    </w:p>
    <w:p>
      <w:pPr>
        <w:pStyle w:val="BodyText"/>
        <w:spacing w:before="9"/>
        <w:rPr>
          <w:sz w:val="25"/>
        </w:rPr>
      </w:pPr>
    </w:p>
    <w:p>
      <w:pPr>
        <w:spacing w:before="0"/>
        <w:ind w:left="240" w:right="0" w:firstLine="0"/>
        <w:jc w:val="both"/>
        <w:rPr>
          <w:b/>
          <w:sz w:val="28"/>
        </w:rPr>
      </w:pPr>
      <w:r>
        <w:rPr>
          <w:b/>
          <w:sz w:val="28"/>
        </w:rPr>
        <w:t>#6 Story can change hearts and minds</w:t>
      </w:r>
    </w:p>
    <w:p>
      <w:pPr>
        <w:pStyle w:val="BodyText"/>
        <w:spacing w:before="11"/>
        <w:rPr>
          <w:b/>
          <w:sz w:val="27"/>
        </w:rPr>
      </w:pPr>
    </w:p>
    <w:p>
      <w:pPr>
        <w:pStyle w:val="BodyText"/>
        <w:spacing w:line="259" w:lineRule="auto"/>
        <w:ind w:left="240" w:right="472"/>
      </w:pPr>
      <w:r>
        <w:rPr/>
        <w:t>One thing that makes a Catholic RSE programme so unique and different from any other statutory subject is that it shouldn’t just equip a child or young person with facts; it doesn’t just present neutral or value-free information. It needs to do much more. It needs to speak to hearts and minds in order to elevate the social, moral, cultural and spiritual education of the student.</w:t>
      </w:r>
    </w:p>
    <w:p>
      <w:pPr>
        <w:pStyle w:val="BodyText"/>
        <w:spacing w:before="2"/>
        <w:rPr>
          <w:sz w:val="29"/>
        </w:rPr>
      </w:pPr>
    </w:p>
    <w:p>
      <w:pPr>
        <w:pStyle w:val="BodyText"/>
        <w:ind w:left="240"/>
        <w:jc w:val="both"/>
        <w:rPr>
          <w:b/>
        </w:rPr>
      </w:pPr>
      <w:bookmarkStart w:name="For Ten Ten, the vehicle we use to speak" w:id="5"/>
      <w:bookmarkEnd w:id="5"/>
      <w:r>
        <w:rPr/>
      </w:r>
      <w:r>
        <w:rPr/>
        <w:t>For Ten Ten, the vehicle we use to speak into hearts and minds is </w:t>
      </w:r>
      <w:r>
        <w:rPr>
          <w:b/>
        </w:rPr>
        <w:t>story.</w:t>
      </w:r>
    </w:p>
    <w:p>
      <w:pPr>
        <w:pStyle w:val="BodyText"/>
        <w:rPr>
          <w:b/>
          <w:sz w:val="26"/>
        </w:rPr>
      </w:pPr>
    </w:p>
    <w:p>
      <w:pPr>
        <w:pStyle w:val="BodyText"/>
        <w:spacing w:line="259" w:lineRule="auto"/>
        <w:ind w:left="240" w:right="392"/>
      </w:pPr>
      <w:r>
        <w:rPr/>
        <w:t>As human beings, we often learn from mistakes. However, we don’t need to live through difficult experiences in order to grow. We can live those experiences out vicariously through the art of story; by engaging with story, we can reflect on our life choices and how we might alter or change something for the better.</w:t>
      </w:r>
    </w:p>
    <w:p>
      <w:pPr>
        <w:pStyle w:val="BodyText"/>
        <w:spacing w:before="10"/>
        <w:rPr>
          <w:sz w:val="25"/>
        </w:rPr>
      </w:pPr>
    </w:p>
    <w:p>
      <w:pPr>
        <w:pStyle w:val="BodyText"/>
        <w:spacing w:line="259" w:lineRule="auto"/>
        <w:ind w:left="240" w:right="324"/>
      </w:pPr>
      <w:r>
        <w:rPr/>
        <w:t>Through story, children and young people can journey from watching a story – to understanding it – to relating their personal lives to what they’ve watched – and then making a commitment or action to change. This is the methodology that Ten Ten adopts in all of our resources.</w:t>
      </w:r>
    </w:p>
    <w:p>
      <w:pPr>
        <w:spacing w:after="0" w:line="259" w:lineRule="auto"/>
        <w:sectPr>
          <w:pgSz w:w="11910" w:h="16840"/>
          <w:pgMar w:header="715" w:footer="1445" w:top="1320" w:bottom="164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61"/>
        <w:ind w:left="240" w:right="0" w:firstLine="0"/>
        <w:jc w:val="left"/>
        <w:rPr>
          <w:b/>
          <w:sz w:val="28"/>
        </w:rPr>
      </w:pPr>
      <w:r>
        <w:rPr>
          <w:b/>
          <w:sz w:val="28"/>
        </w:rPr>
        <w:t>#7 Catholic RSE is an education in virtue</w:t>
      </w:r>
    </w:p>
    <w:p>
      <w:pPr>
        <w:pStyle w:val="BodyText"/>
        <w:spacing w:before="1"/>
        <w:rPr>
          <w:b/>
          <w:sz w:val="28"/>
        </w:rPr>
      </w:pPr>
    </w:p>
    <w:p>
      <w:pPr>
        <w:pStyle w:val="BodyText"/>
        <w:spacing w:line="259" w:lineRule="auto"/>
        <w:ind w:left="240" w:right="418"/>
      </w:pPr>
      <w:r>
        <w:rPr/>
        <w:t>In their draft guidance, the DfE refer to the development of ‘character’. They talk about the development of resilience, perseverance, honesty, integrity, courage, humility, kindness, generosity, trustworthiness and a sense of justice. Within a Catholic context, we have a different name for it, a word which has a richer context: </w:t>
      </w:r>
      <w:r>
        <w:rPr>
          <w:b/>
        </w:rPr>
        <w:t>virtue</w:t>
      </w:r>
      <w:r>
        <w:rPr/>
        <w:t>.</w:t>
      </w:r>
    </w:p>
    <w:p>
      <w:pPr>
        <w:pStyle w:val="BodyText"/>
        <w:spacing w:before="9"/>
        <w:rPr>
          <w:sz w:val="25"/>
        </w:rPr>
      </w:pPr>
    </w:p>
    <w:p>
      <w:pPr>
        <w:pStyle w:val="BodyText"/>
        <w:ind w:left="240"/>
      </w:pPr>
      <w:r>
        <w:rPr/>
        <w:t>This is how the CES describe virtue:</w:t>
      </w:r>
    </w:p>
    <w:p>
      <w:pPr>
        <w:pStyle w:val="BodyText"/>
        <w:spacing w:before="8"/>
        <w:rPr>
          <w:sz w:val="27"/>
        </w:rPr>
      </w:pPr>
    </w:p>
    <w:p>
      <w:pPr>
        <w:pStyle w:val="BodyText"/>
        <w:spacing w:line="259" w:lineRule="auto" w:before="1"/>
        <w:ind w:left="960" w:right="313"/>
        <w:jc w:val="both"/>
      </w:pPr>
      <w:r>
        <w:rPr/>
        <w:t>Virtues are habits which are learned from experience, and are gained through imitation, the same virtues being modelled by those who teach. They express the qualities of character that schools should seek to develop in their pupils.</w:t>
      </w:r>
    </w:p>
    <w:p>
      <w:pPr>
        <w:pStyle w:val="BodyText"/>
        <w:spacing w:before="9"/>
        <w:rPr>
          <w:sz w:val="25"/>
        </w:rPr>
      </w:pPr>
    </w:p>
    <w:p>
      <w:pPr>
        <w:pStyle w:val="BodyText"/>
        <w:spacing w:line="259" w:lineRule="auto" w:before="1"/>
        <w:ind w:left="240" w:right="365"/>
      </w:pPr>
      <w:r>
        <w:rPr/>
        <w:t>So Catholic RSE is an education in virtuous habits, modelled by the teaching staff, and lived out at school and home. It’s another way in which this statutory subject is different from, say, History or Science. Often those subjects are about knowledge to be applied in future work or studies. With RSE, you apply it now. It’s not only about the future. It’s about the here and now.</w:t>
      </w:r>
    </w:p>
    <w:p>
      <w:pPr>
        <w:pStyle w:val="BodyText"/>
        <w:rPr>
          <w:sz w:val="26"/>
        </w:rPr>
      </w:pPr>
    </w:p>
    <w:p>
      <w:pPr>
        <w:pStyle w:val="BodyText"/>
        <w:spacing w:before="8"/>
        <w:rPr>
          <w:sz w:val="25"/>
        </w:rPr>
      </w:pPr>
    </w:p>
    <w:p>
      <w:pPr>
        <w:spacing w:before="0"/>
        <w:ind w:left="240" w:right="0" w:firstLine="0"/>
        <w:jc w:val="left"/>
        <w:rPr>
          <w:b/>
          <w:sz w:val="28"/>
        </w:rPr>
      </w:pPr>
      <w:r>
        <w:rPr>
          <w:b/>
          <w:sz w:val="28"/>
        </w:rPr>
        <w:t>#8 Catholic RSE is an education in conscience</w:t>
      </w:r>
    </w:p>
    <w:p>
      <w:pPr>
        <w:pStyle w:val="BodyText"/>
        <w:spacing w:before="1"/>
        <w:rPr>
          <w:b/>
          <w:sz w:val="28"/>
        </w:rPr>
      </w:pPr>
    </w:p>
    <w:p>
      <w:pPr>
        <w:pStyle w:val="BodyText"/>
        <w:spacing w:line="259" w:lineRule="auto"/>
        <w:ind w:left="239" w:right="246"/>
      </w:pPr>
      <w:r>
        <w:rPr/>
        <w:t>Part of the challenge and joy of developing one’s Christian faith is about discerning God’s will. On the one hand, that’s about vocation and our calling in life, but we’re also called to discern God’s will in the day-to-day decisions of life. Consciences need to be formed.</w:t>
      </w:r>
    </w:p>
    <w:p>
      <w:pPr>
        <w:pStyle w:val="BodyText"/>
        <w:spacing w:before="9"/>
        <w:rPr>
          <w:sz w:val="25"/>
        </w:rPr>
      </w:pPr>
    </w:p>
    <w:p>
      <w:pPr>
        <w:pStyle w:val="BodyText"/>
        <w:spacing w:line="259" w:lineRule="auto"/>
        <w:ind w:left="239" w:right="258"/>
      </w:pPr>
      <w:r>
        <w:rPr/>
        <w:t>A Catholic RSE programme should help a child or young person to discriminate between God’s will and their own will. It takes a lifetime (and more) to grow and flourish into the fullness of our potential and we need God’s help. Therefore, Catholic RSE should equip children and young people with guidance so that they can gradually discern the difference between what hinders – and what helps - their integral growth towards God; towards a deeper wholeness in Him.</w:t>
      </w:r>
    </w:p>
    <w:p>
      <w:pPr>
        <w:spacing w:after="0" w:line="259" w:lineRule="auto"/>
        <w:sectPr>
          <w:pgSz w:w="11910" w:h="16840"/>
          <w:pgMar w:header="715" w:footer="1445" w:top="1320" w:bottom="1640" w:left="1200" w:right="1200"/>
        </w:sectPr>
      </w:pPr>
    </w:p>
    <w:p>
      <w:pPr>
        <w:pStyle w:val="BodyText"/>
        <w:rPr>
          <w:sz w:val="20"/>
        </w:rPr>
      </w:pPr>
    </w:p>
    <w:p>
      <w:pPr>
        <w:pStyle w:val="BodyText"/>
        <w:rPr>
          <w:sz w:val="20"/>
        </w:rPr>
      </w:pPr>
    </w:p>
    <w:p>
      <w:pPr>
        <w:spacing w:before="207"/>
        <w:ind w:left="240" w:right="0" w:firstLine="0"/>
        <w:jc w:val="left"/>
        <w:rPr>
          <w:b/>
          <w:sz w:val="28"/>
        </w:rPr>
      </w:pPr>
      <w:r>
        <w:rPr>
          <w:sz w:val="28"/>
        </w:rPr>
        <w:t>#</w:t>
      </w:r>
      <w:r>
        <w:rPr>
          <w:b/>
          <w:sz w:val="28"/>
        </w:rPr>
        <w:t>9 Relationship Education is about striving for the Common Good</w:t>
      </w:r>
    </w:p>
    <w:p>
      <w:pPr>
        <w:pStyle w:val="BodyText"/>
        <w:spacing w:before="10"/>
        <w:rPr>
          <w:b/>
          <w:sz w:val="27"/>
        </w:rPr>
      </w:pPr>
    </w:p>
    <w:p>
      <w:pPr>
        <w:pStyle w:val="BodyText"/>
        <w:spacing w:line="259" w:lineRule="auto" w:before="1"/>
        <w:ind w:left="239" w:right="260"/>
      </w:pPr>
      <w:r>
        <w:rPr/>
        <w:t>It can be very easy to think of RSE as merely a programme in helping children and young people to understand ‘sex’ within the context of ‘relationships’ at an age- appropriate level throughout their education, but an education in relationships is much, much more than that. Nurturing these virtues and character naturally spill over into a desire to serve and love others, including the stranger. Relationship Education is about striving for the Common Good.</w:t>
      </w:r>
    </w:p>
    <w:p>
      <w:pPr>
        <w:pStyle w:val="BodyText"/>
        <w:spacing w:before="9"/>
        <w:rPr>
          <w:sz w:val="25"/>
        </w:rPr>
      </w:pPr>
    </w:p>
    <w:p>
      <w:pPr>
        <w:pStyle w:val="BodyText"/>
        <w:spacing w:line="259" w:lineRule="auto"/>
        <w:ind w:left="239" w:right="1087"/>
      </w:pPr>
      <w:r>
        <w:rPr/>
        <w:t>The Catholic charity Together For the Common Good asks some challenging questions:</w:t>
      </w:r>
    </w:p>
    <w:p>
      <w:pPr>
        <w:pStyle w:val="BodyText"/>
        <w:spacing w:before="9"/>
        <w:rPr>
          <w:sz w:val="25"/>
        </w:rPr>
      </w:pPr>
    </w:p>
    <w:p>
      <w:pPr>
        <w:pStyle w:val="ListParagraph"/>
        <w:numPr>
          <w:ilvl w:val="1"/>
          <w:numId w:val="2"/>
        </w:numPr>
        <w:tabs>
          <w:tab w:pos="959" w:val="left" w:leader="none"/>
          <w:tab w:pos="960" w:val="left" w:leader="none"/>
        </w:tabs>
        <w:spacing w:line="259" w:lineRule="auto" w:before="1" w:after="0"/>
        <w:ind w:left="960" w:right="739" w:hanging="360"/>
        <w:jc w:val="left"/>
        <w:rPr>
          <w:sz w:val="24"/>
        </w:rPr>
      </w:pPr>
      <w:r>
        <w:rPr>
          <w:sz w:val="24"/>
        </w:rPr>
        <w:t>Are we creating conditions in which every individual in the community can flourish?</w:t>
      </w:r>
    </w:p>
    <w:p>
      <w:pPr>
        <w:pStyle w:val="ListParagraph"/>
        <w:numPr>
          <w:ilvl w:val="1"/>
          <w:numId w:val="2"/>
        </w:numPr>
        <w:tabs>
          <w:tab w:pos="959" w:val="left" w:leader="none"/>
          <w:tab w:pos="960" w:val="left" w:leader="none"/>
        </w:tabs>
        <w:spacing w:line="259" w:lineRule="auto" w:before="0" w:after="0"/>
        <w:ind w:left="960" w:right="607" w:hanging="360"/>
        <w:jc w:val="left"/>
        <w:rPr>
          <w:sz w:val="24"/>
        </w:rPr>
      </w:pPr>
      <w:r>
        <w:rPr>
          <w:sz w:val="24"/>
        </w:rPr>
        <w:t>Do we recognise the gift of the other, respecting different backgrounds and diversity of</w:t>
      </w:r>
      <w:r>
        <w:rPr>
          <w:spacing w:val="-2"/>
          <w:sz w:val="24"/>
        </w:rPr>
        <w:t> </w:t>
      </w:r>
      <w:r>
        <w:rPr>
          <w:sz w:val="24"/>
        </w:rPr>
        <w:t>opinion?</w:t>
      </w:r>
    </w:p>
    <w:p>
      <w:pPr>
        <w:pStyle w:val="ListParagraph"/>
        <w:numPr>
          <w:ilvl w:val="1"/>
          <w:numId w:val="2"/>
        </w:numPr>
        <w:tabs>
          <w:tab w:pos="959" w:val="left" w:leader="none"/>
          <w:tab w:pos="960" w:val="left" w:leader="none"/>
        </w:tabs>
        <w:spacing w:line="275" w:lineRule="exact" w:before="0" w:after="0"/>
        <w:ind w:left="960" w:right="0" w:hanging="360"/>
        <w:jc w:val="left"/>
        <w:rPr>
          <w:sz w:val="24"/>
        </w:rPr>
      </w:pPr>
      <w:r>
        <w:rPr>
          <w:sz w:val="24"/>
        </w:rPr>
        <w:t>Do we treat everyone</w:t>
      </w:r>
      <w:r>
        <w:rPr>
          <w:spacing w:val="-1"/>
          <w:sz w:val="24"/>
        </w:rPr>
        <w:t> </w:t>
      </w:r>
      <w:r>
        <w:rPr>
          <w:sz w:val="24"/>
        </w:rPr>
        <w:t>equally?</w:t>
      </w:r>
    </w:p>
    <w:p>
      <w:pPr>
        <w:pStyle w:val="ListParagraph"/>
        <w:numPr>
          <w:ilvl w:val="1"/>
          <w:numId w:val="2"/>
        </w:numPr>
        <w:tabs>
          <w:tab w:pos="959" w:val="left" w:leader="none"/>
          <w:tab w:pos="960" w:val="left" w:leader="none"/>
        </w:tabs>
        <w:spacing w:line="240" w:lineRule="auto" w:before="22" w:after="0"/>
        <w:ind w:left="960" w:right="0" w:hanging="360"/>
        <w:jc w:val="left"/>
        <w:rPr>
          <w:sz w:val="24"/>
        </w:rPr>
      </w:pPr>
      <w:r>
        <w:rPr>
          <w:sz w:val="24"/>
        </w:rPr>
        <w:t>Do we cherish difference and allow everyone to</w:t>
      </w:r>
      <w:r>
        <w:rPr>
          <w:spacing w:val="-5"/>
          <w:sz w:val="24"/>
        </w:rPr>
        <w:t> </w:t>
      </w:r>
      <w:r>
        <w:rPr>
          <w:sz w:val="24"/>
        </w:rPr>
        <w:t>contribute?</w:t>
      </w:r>
    </w:p>
    <w:p>
      <w:pPr>
        <w:pStyle w:val="ListParagraph"/>
        <w:numPr>
          <w:ilvl w:val="1"/>
          <w:numId w:val="2"/>
        </w:numPr>
        <w:tabs>
          <w:tab w:pos="959" w:val="left" w:leader="none"/>
          <w:tab w:pos="960" w:val="left" w:leader="none"/>
        </w:tabs>
        <w:spacing w:line="259" w:lineRule="auto" w:before="21" w:after="0"/>
        <w:ind w:left="960" w:right="475" w:hanging="360"/>
        <w:jc w:val="left"/>
        <w:rPr>
          <w:sz w:val="24"/>
        </w:rPr>
      </w:pPr>
      <w:r>
        <w:rPr>
          <w:sz w:val="24"/>
        </w:rPr>
        <w:t>Are we caring well for our world, locally and globally, making the most of our finite</w:t>
      </w:r>
      <w:r>
        <w:rPr>
          <w:spacing w:val="-1"/>
          <w:sz w:val="24"/>
        </w:rPr>
        <w:t> </w:t>
      </w:r>
      <w:r>
        <w:rPr>
          <w:sz w:val="24"/>
        </w:rPr>
        <w:t>resources?</w:t>
      </w:r>
    </w:p>
    <w:p>
      <w:pPr>
        <w:pStyle w:val="ListParagraph"/>
        <w:numPr>
          <w:ilvl w:val="1"/>
          <w:numId w:val="2"/>
        </w:numPr>
        <w:tabs>
          <w:tab w:pos="959" w:val="left" w:leader="none"/>
          <w:tab w:pos="960" w:val="left" w:leader="none"/>
        </w:tabs>
        <w:spacing w:line="240" w:lineRule="auto" w:before="0" w:after="0"/>
        <w:ind w:left="960" w:right="0" w:hanging="360"/>
        <w:jc w:val="left"/>
        <w:rPr>
          <w:sz w:val="24"/>
        </w:rPr>
      </w:pPr>
      <w:r>
        <w:rPr>
          <w:sz w:val="24"/>
        </w:rPr>
        <w:t>Do our decisions put the interests of the vulnerable, poor and excluded</w:t>
      </w:r>
      <w:r>
        <w:rPr>
          <w:spacing w:val="-23"/>
          <w:sz w:val="24"/>
        </w:rPr>
        <w:t> </w:t>
      </w:r>
      <w:r>
        <w:rPr>
          <w:sz w:val="24"/>
        </w:rPr>
        <w:t>first?</w:t>
      </w:r>
    </w:p>
    <w:p>
      <w:pPr>
        <w:pStyle w:val="BodyText"/>
        <w:rPr>
          <w:sz w:val="26"/>
        </w:rPr>
      </w:pPr>
    </w:p>
    <w:p>
      <w:pPr>
        <w:pStyle w:val="BodyText"/>
        <w:spacing w:before="9"/>
        <w:rPr>
          <w:sz w:val="27"/>
        </w:rPr>
      </w:pPr>
    </w:p>
    <w:p>
      <w:pPr>
        <w:spacing w:before="0"/>
        <w:ind w:left="240" w:right="0" w:firstLine="0"/>
        <w:jc w:val="left"/>
        <w:rPr>
          <w:b/>
          <w:sz w:val="28"/>
        </w:rPr>
      </w:pPr>
      <w:r>
        <w:rPr>
          <w:b/>
          <w:sz w:val="28"/>
        </w:rPr>
        <w:t>#10 Prayer, Scripture and the Sacraments fuel the teaching</w:t>
      </w:r>
    </w:p>
    <w:p>
      <w:pPr>
        <w:pStyle w:val="BodyText"/>
        <w:spacing w:before="4"/>
        <w:rPr>
          <w:b/>
          <w:sz w:val="32"/>
        </w:rPr>
      </w:pPr>
    </w:p>
    <w:p>
      <w:pPr>
        <w:pStyle w:val="BodyText"/>
        <w:spacing w:line="259" w:lineRule="auto"/>
        <w:ind w:left="240" w:right="284"/>
      </w:pPr>
      <w:r>
        <w:rPr/>
        <w:t>Finally, we believe that it would be impossible to teach a Catholic RSE programme without the fuel that makes the motor run: prayer. A Catholic RSE programme has to have prayer, the Sacraments and the Word of God at its foundation – creating opportunities for students, teachers and parents to develop their prayer life and grow in a deeper relationship with the person of Jesus.</w:t>
      </w:r>
    </w:p>
    <w:p>
      <w:pPr>
        <w:pStyle w:val="BodyText"/>
        <w:rPr>
          <w:sz w:val="26"/>
        </w:rPr>
      </w:pPr>
    </w:p>
    <w:p>
      <w:pPr>
        <w:pStyle w:val="BodyText"/>
        <w:rPr>
          <w:sz w:val="26"/>
        </w:rPr>
      </w:pPr>
    </w:p>
    <w:p>
      <w:pPr>
        <w:spacing w:before="195"/>
        <w:ind w:left="240" w:right="0" w:firstLine="0"/>
        <w:jc w:val="left"/>
        <w:rPr>
          <w:b/>
          <w:sz w:val="28"/>
        </w:rPr>
      </w:pPr>
      <w:r>
        <w:rPr>
          <w:b/>
          <w:sz w:val="28"/>
        </w:rPr>
        <w:t>Ten Ten’s Life to the Full</w:t>
      </w:r>
    </w:p>
    <w:p>
      <w:pPr>
        <w:pStyle w:val="BodyText"/>
        <w:rPr>
          <w:b/>
        </w:rPr>
      </w:pPr>
    </w:p>
    <w:p>
      <w:pPr>
        <w:pStyle w:val="BodyText"/>
        <w:ind w:left="240" w:right="404"/>
        <w:rPr>
          <w:b/>
        </w:rPr>
      </w:pPr>
      <w:r>
        <w:rPr/>
        <w:t>Drawing together information and evidence from the Department of Education and Catholic sources, and based on these 10 principles for a Catholic RSE programme that is fit for purpose, Ten Ten is delighted to announce the creation of a brand new programme of study in Catholic schools called, </w:t>
      </w:r>
      <w:r>
        <w:rPr>
          <w:b/>
        </w:rPr>
        <w:t>Life to the Full.</w:t>
      </w:r>
    </w:p>
    <w:p>
      <w:pPr>
        <w:spacing w:after="0"/>
        <w:sectPr>
          <w:pgSz w:w="11910" w:h="16840"/>
          <w:pgMar w:header="715" w:footer="1445" w:top="1320" w:bottom="1640" w:left="1200" w:right="12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39"/>
        <w:ind w:left="240" w:right="0" w:firstLine="0"/>
        <w:jc w:val="left"/>
        <w:rPr>
          <w:sz w:val="160"/>
        </w:rPr>
      </w:pPr>
      <w:bookmarkStart w:name="_bookmark4" w:id="6"/>
      <w:bookmarkEnd w:id="6"/>
      <w:r>
        <w:rPr/>
      </w:r>
      <w:r>
        <w:rPr>
          <w:color w:val="FF8024"/>
          <w:w w:val="70"/>
          <w:sz w:val="160"/>
        </w:rPr>
        <w:t>Life</w:t>
      </w:r>
      <w:r>
        <w:rPr>
          <w:color w:val="FF8024"/>
          <w:spacing w:val="-89"/>
          <w:w w:val="70"/>
          <w:sz w:val="160"/>
        </w:rPr>
        <w:t> </w:t>
      </w:r>
      <w:r>
        <w:rPr>
          <w:color w:val="FF8024"/>
          <w:w w:val="70"/>
          <w:sz w:val="160"/>
        </w:rPr>
        <w:t>to</w:t>
      </w:r>
      <w:r>
        <w:rPr>
          <w:color w:val="FF8024"/>
          <w:spacing w:val="-88"/>
          <w:w w:val="70"/>
          <w:sz w:val="160"/>
        </w:rPr>
        <w:t> </w:t>
      </w:r>
      <w:r>
        <w:rPr>
          <w:color w:val="FF8024"/>
          <w:w w:val="70"/>
          <w:sz w:val="160"/>
        </w:rPr>
        <w:t>the</w:t>
      </w:r>
      <w:r>
        <w:rPr>
          <w:color w:val="FF8024"/>
          <w:spacing w:val="-89"/>
          <w:w w:val="70"/>
          <w:sz w:val="160"/>
        </w:rPr>
        <w:t> </w:t>
      </w:r>
      <w:r>
        <w:rPr>
          <w:color w:val="FF8024"/>
          <w:w w:val="70"/>
          <w:sz w:val="160"/>
        </w:rPr>
        <w:t>Full</w:t>
      </w:r>
    </w:p>
    <w:p>
      <w:pPr>
        <w:pStyle w:val="BodyText"/>
        <w:spacing w:before="601"/>
        <w:ind w:left="239" w:right="312"/>
      </w:pPr>
      <w:r>
        <w:rPr/>
        <w:t>Ten Ten’s new programme, </w:t>
      </w:r>
      <w:r>
        <w:rPr>
          <w:b/>
        </w:rPr>
        <w:t>Life to the Full, </w:t>
      </w:r>
      <w:r>
        <w:rPr/>
        <w:t>will teach Relationships Education (primary) and Relationships and Sex Education (secondary), incorporating Health Education, within the context of a Christian understanding of human sexuality rooted in the wisdom and teaching of the Catholic Church.</w:t>
      </w:r>
    </w:p>
    <w:p>
      <w:pPr>
        <w:pStyle w:val="BodyText"/>
        <w:spacing w:before="11"/>
        <w:rPr>
          <w:sz w:val="23"/>
        </w:rPr>
      </w:pPr>
    </w:p>
    <w:p>
      <w:pPr>
        <w:pStyle w:val="BodyText"/>
        <w:ind w:left="240" w:right="618"/>
      </w:pPr>
      <w:r>
        <w:rPr/>
        <w:t>Given that RSE will become a statutory subject for all schools from September 2020, we are embracing “the challenges of creating a happy and successful adult life” by giving pupils knowledge “that will enable them to make informed decisions about their wellbeing, health and relationships” (DFE Statutory Guidance).</w:t>
      </w:r>
    </w:p>
    <w:p>
      <w:pPr>
        <w:pStyle w:val="BodyText"/>
      </w:pPr>
    </w:p>
    <w:p>
      <w:pPr>
        <w:pStyle w:val="BodyText"/>
        <w:ind w:left="239" w:right="325"/>
      </w:pPr>
      <w:r>
        <w:rPr/>
        <w:t>We will deliver this teaching through the prism of Catholic RSE. The framework of our programme is taken from the Model Catholic RSE Programme by the Catholic Education Service, which has been highlighted by the Department of Education as a work of good practice.</w:t>
      </w:r>
    </w:p>
    <w:p>
      <w:pPr>
        <w:pStyle w:val="BodyText"/>
        <w:spacing w:before="8"/>
        <w:rPr>
          <w:sz w:val="20"/>
        </w:rPr>
      </w:pPr>
      <w:r>
        <w:rPr/>
        <w:pict>
          <v:shape style="position:absolute;margin-left:65.790001pt;margin-top:14.618346pt;width:463.75pt;height:182.8pt;mso-position-horizontal-relative:page;mso-position-vertical-relative:paragraph;z-index:-251658240;mso-wrap-distance-left:0;mso-wrap-distance-right:0" type="#_x0000_t202" filled="false" stroked="true" strokeweight="1.5pt" strokecolor="#ec7c30">
            <v:textbox inset="0,0,0,0">
              <w:txbxContent>
                <w:p>
                  <w:pPr>
                    <w:pStyle w:val="BodyText"/>
                    <w:spacing w:before="7"/>
                    <w:rPr>
                      <w:sz w:val="25"/>
                    </w:rPr>
                  </w:pPr>
                </w:p>
                <w:p>
                  <w:pPr>
                    <w:pStyle w:val="BodyText"/>
                    <w:ind w:left="109" w:right="190"/>
                  </w:pPr>
                  <w:r>
                    <w:rPr>
                      <w:b/>
                    </w:rPr>
                    <w:t>Life to the Full </w:t>
                  </w:r>
                  <w:r>
                    <w:rPr/>
                    <w:t>is a fully resourced Scheme of Work in Relationships Education for Catholic primary schools which embraces and fulfils the new statutory curriculum. Taught with a spiral approach to learning, in which pupils will revisit the same topics at an age-appropriate stage through their school life, the programme includes teaching about personal health, physical and emotional wellbeing, strong emotions, private parts of the body, personal relationships, family structures, trusted adults, growing bodies, puberty, periods, life cycles, the dangers of social media, pornography, where babies come from, an understanding of the Common Good and living in the wider world. The entire teaching is underpinned with a religious understanding that our deepest identity is as a child of God - created chosen and loved by God. The programme is fully inclusive of all pupils and their families.</w:t>
                  </w:r>
                </w:p>
              </w:txbxContent>
            </v:textbox>
            <v:stroke dashstyle="solid"/>
            <w10:wrap type="topAndBottom"/>
          </v:shape>
        </w:pict>
      </w:r>
    </w:p>
    <w:p>
      <w:pPr>
        <w:pStyle w:val="BodyText"/>
        <w:spacing w:before="7"/>
        <w:rPr>
          <w:sz w:val="13"/>
        </w:rPr>
      </w:pPr>
    </w:p>
    <w:p>
      <w:pPr>
        <w:pStyle w:val="BodyText"/>
        <w:spacing w:line="259" w:lineRule="auto" w:before="92"/>
        <w:ind w:left="240" w:right="338"/>
      </w:pPr>
      <w:r>
        <w:rPr/>
        <w:t>The programme is being written on the assumption that not all class teachers will be Catholic. Our guidance and training for staff will be mindful and supportive of this.</w:t>
      </w:r>
    </w:p>
    <w:p>
      <w:pPr>
        <w:spacing w:after="0" w:line="259" w:lineRule="auto"/>
        <w:sectPr>
          <w:pgSz w:w="11910" w:h="16840"/>
          <w:pgMar w:header="715" w:footer="1445" w:top="1320" w:bottom="164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line="1747" w:lineRule="exact" w:before="0"/>
        <w:ind w:left="240" w:right="0" w:firstLine="0"/>
        <w:jc w:val="left"/>
        <w:rPr>
          <w:sz w:val="160"/>
        </w:rPr>
      </w:pPr>
      <w:r>
        <w:rPr>
          <w:color w:val="FF8024"/>
          <w:w w:val="70"/>
          <w:sz w:val="160"/>
        </w:rPr>
        <w:t>What is</w:t>
      </w:r>
      <w:r>
        <w:rPr>
          <w:color w:val="FF8024"/>
          <w:spacing w:val="-121"/>
          <w:w w:val="70"/>
          <w:sz w:val="160"/>
        </w:rPr>
        <w:t> </w:t>
      </w:r>
      <w:r>
        <w:rPr>
          <w:color w:val="FF8024"/>
          <w:w w:val="70"/>
          <w:sz w:val="160"/>
        </w:rPr>
        <w:t>it?</w:t>
      </w:r>
    </w:p>
    <w:p>
      <w:pPr>
        <w:spacing w:before="877"/>
        <w:ind w:left="240" w:right="0" w:firstLine="0"/>
        <w:jc w:val="left"/>
        <w:rPr>
          <w:sz w:val="24"/>
        </w:rPr>
      </w:pPr>
      <w:r>
        <w:rPr>
          <w:b/>
          <w:sz w:val="24"/>
        </w:rPr>
        <w:t>Life to the Full </w:t>
      </w:r>
      <w:r>
        <w:rPr>
          <w:sz w:val="24"/>
        </w:rPr>
        <w:t>is annual subscription platform in Catholic RSE which gives you:</w:t>
      </w:r>
    </w:p>
    <w:p>
      <w:pPr>
        <w:pStyle w:val="BodyText"/>
      </w:pPr>
    </w:p>
    <w:p>
      <w:pPr>
        <w:pStyle w:val="ListParagraph"/>
        <w:numPr>
          <w:ilvl w:val="0"/>
          <w:numId w:val="3"/>
        </w:numPr>
        <w:tabs>
          <w:tab w:pos="960" w:val="left" w:leader="none"/>
        </w:tabs>
        <w:spacing w:line="240" w:lineRule="auto" w:before="0" w:after="0"/>
        <w:ind w:left="959" w:right="1061" w:hanging="360"/>
        <w:jc w:val="left"/>
        <w:rPr>
          <w:sz w:val="24"/>
        </w:rPr>
      </w:pPr>
      <w:r>
        <w:rPr>
          <w:sz w:val="24"/>
        </w:rPr>
        <w:t>A programme of study containing approximately 60 media-rich lessons divided into three learning</w:t>
      </w:r>
      <w:r>
        <w:rPr>
          <w:spacing w:val="-1"/>
          <w:sz w:val="24"/>
        </w:rPr>
        <w:t> </w:t>
      </w:r>
      <w:r>
        <w:rPr>
          <w:sz w:val="24"/>
        </w:rPr>
        <w:t>stages*:</w:t>
      </w:r>
    </w:p>
    <w:p>
      <w:pPr>
        <w:pStyle w:val="ListParagraph"/>
        <w:numPr>
          <w:ilvl w:val="1"/>
          <w:numId w:val="3"/>
        </w:numPr>
        <w:tabs>
          <w:tab w:pos="1680" w:val="left" w:leader="none"/>
        </w:tabs>
        <w:spacing w:line="287" w:lineRule="exact" w:before="0" w:after="0"/>
        <w:ind w:left="1680" w:right="0" w:hanging="361"/>
        <w:jc w:val="left"/>
        <w:rPr>
          <w:sz w:val="24"/>
        </w:rPr>
      </w:pPr>
      <w:r>
        <w:rPr>
          <w:sz w:val="24"/>
        </w:rPr>
        <w:t>Key Stage One (Years 1 and</w:t>
      </w:r>
      <w:r>
        <w:rPr>
          <w:spacing w:val="-1"/>
          <w:sz w:val="24"/>
        </w:rPr>
        <w:t> </w:t>
      </w:r>
      <w:r>
        <w:rPr>
          <w:sz w:val="24"/>
        </w:rPr>
        <w:t>2);</w:t>
      </w:r>
    </w:p>
    <w:p>
      <w:pPr>
        <w:pStyle w:val="ListParagraph"/>
        <w:numPr>
          <w:ilvl w:val="1"/>
          <w:numId w:val="3"/>
        </w:numPr>
        <w:tabs>
          <w:tab w:pos="1680" w:val="left" w:leader="none"/>
        </w:tabs>
        <w:spacing w:line="276" w:lineRule="exact" w:before="0" w:after="0"/>
        <w:ind w:left="1680" w:right="0" w:hanging="361"/>
        <w:jc w:val="left"/>
        <w:rPr>
          <w:sz w:val="24"/>
        </w:rPr>
      </w:pPr>
      <w:r>
        <w:rPr>
          <w:sz w:val="24"/>
        </w:rPr>
        <w:t>Lower Key Stage Two (Years 3 and</w:t>
      </w:r>
      <w:r>
        <w:rPr>
          <w:spacing w:val="-16"/>
          <w:sz w:val="24"/>
        </w:rPr>
        <w:t> </w:t>
      </w:r>
      <w:r>
        <w:rPr>
          <w:sz w:val="24"/>
        </w:rPr>
        <w:t>4);</w:t>
      </w:r>
    </w:p>
    <w:p>
      <w:pPr>
        <w:pStyle w:val="ListParagraph"/>
        <w:numPr>
          <w:ilvl w:val="1"/>
          <w:numId w:val="3"/>
        </w:numPr>
        <w:tabs>
          <w:tab w:pos="1680" w:val="left" w:leader="none"/>
        </w:tabs>
        <w:spacing w:line="287" w:lineRule="exact" w:before="0" w:after="0"/>
        <w:ind w:left="1680" w:right="0" w:hanging="361"/>
        <w:jc w:val="left"/>
        <w:rPr>
          <w:sz w:val="24"/>
        </w:rPr>
      </w:pPr>
      <w:r>
        <w:rPr>
          <w:sz w:val="24"/>
        </w:rPr>
        <w:t>Upper Key Stage Two (Years 5 and</w:t>
      </w:r>
      <w:r>
        <w:rPr>
          <w:spacing w:val="-16"/>
          <w:sz w:val="24"/>
        </w:rPr>
        <w:t> </w:t>
      </w:r>
      <w:r>
        <w:rPr>
          <w:sz w:val="24"/>
        </w:rPr>
        <w:t>6).</w:t>
      </w:r>
    </w:p>
    <w:p>
      <w:pPr>
        <w:pStyle w:val="BodyText"/>
        <w:spacing w:before="1"/>
        <w:rPr>
          <w:sz w:val="22"/>
        </w:rPr>
      </w:pPr>
    </w:p>
    <w:p>
      <w:pPr>
        <w:pStyle w:val="ListParagraph"/>
        <w:numPr>
          <w:ilvl w:val="0"/>
          <w:numId w:val="3"/>
        </w:numPr>
        <w:tabs>
          <w:tab w:pos="960" w:val="left" w:leader="none"/>
        </w:tabs>
        <w:spacing w:line="240" w:lineRule="auto" w:before="1" w:after="0"/>
        <w:ind w:left="959" w:right="489" w:hanging="360"/>
        <w:jc w:val="left"/>
        <w:rPr>
          <w:sz w:val="24"/>
        </w:rPr>
      </w:pPr>
      <w:r>
        <w:rPr>
          <w:sz w:val="24"/>
        </w:rPr>
        <w:t>An accompanying programme of age-specific prayer and worship to support the programme from the creators of “Collective</w:t>
      </w:r>
      <w:r>
        <w:rPr>
          <w:spacing w:val="-7"/>
          <w:sz w:val="24"/>
        </w:rPr>
        <w:t> </w:t>
      </w:r>
      <w:r>
        <w:rPr>
          <w:sz w:val="24"/>
        </w:rPr>
        <w:t>Worship”.</w:t>
      </w:r>
    </w:p>
    <w:p>
      <w:pPr>
        <w:pStyle w:val="BodyText"/>
      </w:pPr>
    </w:p>
    <w:p>
      <w:pPr>
        <w:pStyle w:val="ListParagraph"/>
        <w:numPr>
          <w:ilvl w:val="0"/>
          <w:numId w:val="3"/>
        </w:numPr>
        <w:tabs>
          <w:tab w:pos="960" w:val="left" w:leader="none"/>
        </w:tabs>
        <w:spacing w:line="240" w:lineRule="auto" w:before="0" w:after="0"/>
        <w:ind w:left="960" w:right="0" w:hanging="361"/>
        <w:jc w:val="left"/>
        <w:rPr>
          <w:sz w:val="24"/>
        </w:rPr>
      </w:pPr>
      <w:r>
        <w:rPr>
          <w:sz w:val="24"/>
        </w:rPr>
        <w:t>Assessment Activities to record evidence of</w:t>
      </w:r>
      <w:r>
        <w:rPr>
          <w:spacing w:val="-4"/>
          <w:sz w:val="24"/>
        </w:rPr>
        <w:t> </w:t>
      </w:r>
      <w:r>
        <w:rPr>
          <w:sz w:val="24"/>
        </w:rPr>
        <w:t>success;</w:t>
      </w:r>
    </w:p>
    <w:p>
      <w:pPr>
        <w:pStyle w:val="BodyText"/>
      </w:pPr>
    </w:p>
    <w:p>
      <w:pPr>
        <w:pStyle w:val="ListParagraph"/>
        <w:numPr>
          <w:ilvl w:val="0"/>
          <w:numId w:val="3"/>
        </w:numPr>
        <w:tabs>
          <w:tab w:pos="960" w:val="left" w:leader="none"/>
        </w:tabs>
        <w:spacing w:line="240" w:lineRule="auto" w:before="0" w:after="0"/>
        <w:ind w:left="960" w:right="0" w:hanging="361"/>
        <w:jc w:val="left"/>
        <w:rPr>
          <w:sz w:val="24"/>
        </w:rPr>
      </w:pPr>
      <w:r>
        <w:rPr>
          <w:sz w:val="24"/>
        </w:rPr>
        <w:t>Training sessions for staff;</w:t>
      </w:r>
    </w:p>
    <w:p>
      <w:pPr>
        <w:pStyle w:val="BodyText"/>
      </w:pPr>
    </w:p>
    <w:p>
      <w:pPr>
        <w:pStyle w:val="ListParagraph"/>
        <w:numPr>
          <w:ilvl w:val="0"/>
          <w:numId w:val="3"/>
        </w:numPr>
        <w:tabs>
          <w:tab w:pos="960" w:val="left" w:leader="none"/>
        </w:tabs>
        <w:spacing w:line="240" w:lineRule="auto" w:before="0" w:after="0"/>
        <w:ind w:left="960" w:right="0" w:hanging="361"/>
        <w:jc w:val="left"/>
        <w:rPr>
          <w:sz w:val="24"/>
        </w:rPr>
      </w:pPr>
      <w:r>
        <w:rPr>
          <w:sz w:val="24"/>
        </w:rPr>
        <w:t>An online parent portal for links to</w:t>
      </w:r>
      <w:r>
        <w:rPr>
          <w:spacing w:val="-3"/>
          <w:sz w:val="24"/>
        </w:rPr>
        <w:t> </w:t>
      </w:r>
      <w:r>
        <w:rPr>
          <w:sz w:val="24"/>
        </w:rPr>
        <w:t>home.</w:t>
      </w:r>
    </w:p>
    <w:p>
      <w:pPr>
        <w:pStyle w:val="BodyText"/>
        <w:rPr>
          <w:sz w:val="26"/>
        </w:rPr>
      </w:pPr>
    </w:p>
    <w:p>
      <w:pPr>
        <w:pStyle w:val="BodyText"/>
        <w:rPr>
          <w:sz w:val="22"/>
        </w:rPr>
      </w:pPr>
    </w:p>
    <w:p>
      <w:pPr>
        <w:pStyle w:val="BodyText"/>
        <w:ind w:left="239"/>
      </w:pPr>
      <w:r>
        <w:rPr/>
        <w:t>*EYFS to follow in the future.</w:t>
      </w:r>
    </w:p>
    <w:p>
      <w:pPr>
        <w:spacing w:after="0"/>
        <w:sectPr>
          <w:pgSz w:w="11910" w:h="16840"/>
          <w:pgMar w:header="715" w:footer="1445" w:top="1320" w:bottom="1640" w:left="1200" w:right="1200"/>
        </w:sectPr>
      </w:pPr>
    </w:p>
    <w:p>
      <w:pPr>
        <w:spacing w:before="100"/>
        <w:ind w:left="805" w:right="805" w:firstLine="0"/>
        <w:jc w:val="center"/>
        <w:rPr>
          <w:sz w:val="56"/>
        </w:rPr>
      </w:pPr>
      <w:r>
        <w:rPr/>
        <w:drawing>
          <wp:anchor distT="0" distB="0" distL="0" distR="0" allowOverlap="1" layoutInCell="1" locked="0" behindDoc="0" simplePos="0" relativeHeight="1">
            <wp:simplePos x="0" y="0"/>
            <wp:positionH relativeFrom="page">
              <wp:posOffset>914400</wp:posOffset>
            </wp:positionH>
            <wp:positionV relativeFrom="paragraph">
              <wp:posOffset>537243</wp:posOffset>
            </wp:positionV>
            <wp:extent cx="5694331" cy="7733919"/>
            <wp:effectExtent l="0" t="0" r="0" b="0"/>
            <wp:wrapTopAndBottom/>
            <wp:docPr id="5" name="image3.jpeg" descr="A screenshot of text  Description automatically generated"/>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694331" cy="7733919"/>
                    </a:xfrm>
                    <a:prstGeom prst="rect">
                      <a:avLst/>
                    </a:prstGeom>
                  </pic:spPr>
                </pic:pic>
              </a:graphicData>
            </a:graphic>
          </wp:anchor>
        </w:drawing>
      </w:r>
      <w:r>
        <w:rPr>
          <w:color w:val="FF8024"/>
          <w:w w:val="75"/>
          <w:sz w:val="56"/>
        </w:rPr>
        <w:t>Module</w:t>
      </w:r>
      <w:r>
        <w:rPr>
          <w:color w:val="FF8024"/>
          <w:spacing w:val="-74"/>
          <w:w w:val="75"/>
          <w:sz w:val="56"/>
        </w:rPr>
        <w:t> </w:t>
      </w:r>
      <w:r>
        <w:rPr>
          <w:color w:val="FF8024"/>
          <w:w w:val="75"/>
          <w:sz w:val="56"/>
        </w:rPr>
        <w:t>One:</w:t>
      </w:r>
      <w:r>
        <w:rPr>
          <w:color w:val="FF8024"/>
          <w:spacing w:val="-73"/>
          <w:w w:val="75"/>
          <w:sz w:val="56"/>
        </w:rPr>
        <w:t> </w:t>
      </w:r>
      <w:r>
        <w:rPr>
          <w:color w:val="FF8024"/>
          <w:w w:val="75"/>
          <w:sz w:val="56"/>
        </w:rPr>
        <w:t>Created</w:t>
      </w:r>
      <w:r>
        <w:rPr>
          <w:color w:val="FF8024"/>
          <w:spacing w:val="-72"/>
          <w:w w:val="75"/>
          <w:sz w:val="56"/>
        </w:rPr>
        <w:t> </w:t>
      </w:r>
      <w:r>
        <w:rPr>
          <w:color w:val="FF8024"/>
          <w:w w:val="75"/>
          <w:sz w:val="56"/>
        </w:rPr>
        <w:t>and</w:t>
      </w:r>
      <w:r>
        <w:rPr>
          <w:color w:val="FF8024"/>
          <w:spacing w:val="-73"/>
          <w:w w:val="75"/>
          <w:sz w:val="56"/>
        </w:rPr>
        <w:t> </w:t>
      </w:r>
      <w:r>
        <w:rPr>
          <w:color w:val="FF8024"/>
          <w:w w:val="75"/>
          <w:sz w:val="56"/>
        </w:rPr>
        <w:t>Loved</w:t>
      </w:r>
      <w:r>
        <w:rPr>
          <w:color w:val="FF8024"/>
          <w:spacing w:val="-72"/>
          <w:w w:val="75"/>
          <w:sz w:val="56"/>
        </w:rPr>
        <w:t> </w:t>
      </w:r>
      <w:r>
        <w:rPr>
          <w:color w:val="FF8024"/>
          <w:w w:val="75"/>
          <w:sz w:val="56"/>
        </w:rPr>
        <w:t>by</w:t>
      </w:r>
      <w:r>
        <w:rPr>
          <w:color w:val="FF8024"/>
          <w:spacing w:val="-73"/>
          <w:w w:val="75"/>
          <w:sz w:val="56"/>
        </w:rPr>
        <w:t> </w:t>
      </w:r>
      <w:r>
        <w:rPr>
          <w:color w:val="FF8024"/>
          <w:w w:val="75"/>
          <w:sz w:val="56"/>
        </w:rPr>
        <w:t>God</w:t>
      </w:r>
    </w:p>
    <w:p>
      <w:pPr>
        <w:spacing w:after="0"/>
        <w:jc w:val="center"/>
        <w:rPr>
          <w:sz w:val="56"/>
        </w:rPr>
        <w:sectPr>
          <w:pgSz w:w="11910" w:h="16840"/>
          <w:pgMar w:header="715" w:footer="1445" w:top="1320" w:bottom="1640" w:left="1200" w:right="1200"/>
        </w:sectPr>
      </w:pPr>
    </w:p>
    <w:p>
      <w:pPr>
        <w:spacing w:before="22"/>
        <w:ind w:left="805" w:right="805" w:firstLine="0"/>
        <w:jc w:val="center"/>
        <w:rPr>
          <w:sz w:val="56"/>
        </w:rPr>
      </w:pPr>
      <w:r>
        <w:rPr/>
        <w:drawing>
          <wp:anchor distT="0" distB="0" distL="0" distR="0" allowOverlap="1" layoutInCell="1" locked="0" behindDoc="0" simplePos="0" relativeHeight="2">
            <wp:simplePos x="0" y="0"/>
            <wp:positionH relativeFrom="page">
              <wp:posOffset>937261</wp:posOffset>
            </wp:positionH>
            <wp:positionV relativeFrom="paragraph">
              <wp:posOffset>487372</wp:posOffset>
            </wp:positionV>
            <wp:extent cx="5648991" cy="7733919"/>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648991" cy="7733919"/>
                    </a:xfrm>
                    <a:prstGeom prst="rect">
                      <a:avLst/>
                    </a:prstGeom>
                  </pic:spPr>
                </pic:pic>
              </a:graphicData>
            </a:graphic>
          </wp:anchor>
        </w:drawing>
      </w:r>
      <w:r>
        <w:rPr>
          <w:color w:val="FF8024"/>
          <w:w w:val="75"/>
          <w:sz w:val="56"/>
        </w:rPr>
        <w:t>Module</w:t>
      </w:r>
      <w:r>
        <w:rPr>
          <w:color w:val="FF8024"/>
          <w:spacing w:val="-67"/>
          <w:w w:val="75"/>
          <w:sz w:val="56"/>
        </w:rPr>
        <w:t> </w:t>
      </w:r>
      <w:r>
        <w:rPr>
          <w:color w:val="FF8024"/>
          <w:w w:val="75"/>
          <w:sz w:val="56"/>
        </w:rPr>
        <w:t>Two:</w:t>
      </w:r>
      <w:r>
        <w:rPr>
          <w:color w:val="FF8024"/>
          <w:spacing w:val="-67"/>
          <w:w w:val="75"/>
          <w:sz w:val="56"/>
        </w:rPr>
        <w:t> </w:t>
      </w:r>
      <w:r>
        <w:rPr>
          <w:color w:val="FF8024"/>
          <w:w w:val="75"/>
          <w:sz w:val="56"/>
        </w:rPr>
        <w:t>Created</w:t>
      </w:r>
      <w:r>
        <w:rPr>
          <w:color w:val="FF8024"/>
          <w:spacing w:val="-64"/>
          <w:w w:val="75"/>
          <w:sz w:val="56"/>
        </w:rPr>
        <w:t> </w:t>
      </w:r>
      <w:r>
        <w:rPr>
          <w:color w:val="FF8024"/>
          <w:w w:val="75"/>
          <w:sz w:val="56"/>
        </w:rPr>
        <w:t>to</w:t>
      </w:r>
      <w:r>
        <w:rPr>
          <w:color w:val="FF8024"/>
          <w:spacing w:val="-66"/>
          <w:w w:val="75"/>
          <w:sz w:val="56"/>
        </w:rPr>
        <w:t> </w:t>
      </w:r>
      <w:r>
        <w:rPr>
          <w:color w:val="FF8024"/>
          <w:w w:val="75"/>
          <w:sz w:val="56"/>
        </w:rPr>
        <w:t>Love</w:t>
      </w:r>
      <w:r>
        <w:rPr>
          <w:color w:val="FF8024"/>
          <w:spacing w:val="-66"/>
          <w:w w:val="75"/>
          <w:sz w:val="56"/>
        </w:rPr>
        <w:t> </w:t>
      </w:r>
      <w:r>
        <w:rPr>
          <w:color w:val="FF8024"/>
          <w:w w:val="75"/>
          <w:sz w:val="56"/>
        </w:rPr>
        <w:t>Others</w:t>
      </w:r>
    </w:p>
    <w:p>
      <w:pPr>
        <w:spacing w:after="0"/>
        <w:jc w:val="center"/>
        <w:rPr>
          <w:sz w:val="56"/>
        </w:rPr>
        <w:sectPr>
          <w:pgSz w:w="11910" w:h="16840"/>
          <w:pgMar w:header="715" w:footer="1445" w:top="1320" w:bottom="1640" w:left="1200" w:right="1200"/>
        </w:sectPr>
      </w:pPr>
    </w:p>
    <w:p>
      <w:pPr>
        <w:pStyle w:val="BodyText"/>
        <w:spacing w:before="8"/>
        <w:rPr>
          <w:sz w:val="25"/>
        </w:rPr>
      </w:pPr>
    </w:p>
    <w:p>
      <w:pPr>
        <w:spacing w:before="33"/>
        <w:ind w:left="806" w:right="805" w:firstLine="0"/>
        <w:jc w:val="center"/>
        <w:rPr>
          <w:sz w:val="56"/>
        </w:rPr>
      </w:pPr>
      <w:r>
        <w:rPr/>
        <w:drawing>
          <wp:anchor distT="0" distB="0" distL="0" distR="0" allowOverlap="1" layoutInCell="1" locked="0" behindDoc="0" simplePos="0" relativeHeight="3">
            <wp:simplePos x="0" y="0"/>
            <wp:positionH relativeFrom="page">
              <wp:posOffset>914400</wp:posOffset>
            </wp:positionH>
            <wp:positionV relativeFrom="paragraph">
              <wp:posOffset>494711</wp:posOffset>
            </wp:positionV>
            <wp:extent cx="5649144" cy="7733919"/>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649144" cy="7733919"/>
                    </a:xfrm>
                    <a:prstGeom prst="rect">
                      <a:avLst/>
                    </a:prstGeom>
                  </pic:spPr>
                </pic:pic>
              </a:graphicData>
            </a:graphic>
          </wp:anchor>
        </w:drawing>
      </w:r>
      <w:r>
        <w:rPr>
          <w:color w:val="FF8024"/>
          <w:w w:val="75"/>
          <w:sz w:val="56"/>
        </w:rPr>
        <w:t>Module</w:t>
      </w:r>
      <w:r>
        <w:rPr>
          <w:color w:val="FF8024"/>
          <w:spacing w:val="-84"/>
          <w:w w:val="75"/>
          <w:sz w:val="56"/>
        </w:rPr>
        <w:t> </w:t>
      </w:r>
      <w:r>
        <w:rPr>
          <w:color w:val="FF8024"/>
          <w:w w:val="75"/>
          <w:sz w:val="56"/>
        </w:rPr>
        <w:t>Three:</w:t>
      </w:r>
      <w:r>
        <w:rPr>
          <w:color w:val="FF8024"/>
          <w:spacing w:val="-84"/>
          <w:w w:val="75"/>
          <w:sz w:val="56"/>
        </w:rPr>
        <w:t> </w:t>
      </w:r>
      <w:r>
        <w:rPr>
          <w:color w:val="FF8024"/>
          <w:w w:val="75"/>
          <w:sz w:val="56"/>
        </w:rPr>
        <w:t>Created</w:t>
      </w:r>
      <w:r>
        <w:rPr>
          <w:color w:val="FF8024"/>
          <w:spacing w:val="-82"/>
          <w:w w:val="75"/>
          <w:sz w:val="56"/>
        </w:rPr>
        <w:t> </w:t>
      </w:r>
      <w:r>
        <w:rPr>
          <w:color w:val="FF8024"/>
          <w:w w:val="75"/>
          <w:sz w:val="56"/>
        </w:rPr>
        <w:t>to</w:t>
      </w:r>
      <w:r>
        <w:rPr>
          <w:color w:val="FF8024"/>
          <w:spacing w:val="-84"/>
          <w:w w:val="75"/>
          <w:sz w:val="56"/>
        </w:rPr>
        <w:t> </w:t>
      </w:r>
      <w:r>
        <w:rPr>
          <w:color w:val="FF8024"/>
          <w:w w:val="75"/>
          <w:sz w:val="56"/>
        </w:rPr>
        <w:t>Live</w:t>
      </w:r>
      <w:r>
        <w:rPr>
          <w:color w:val="FF8024"/>
          <w:spacing w:val="-83"/>
          <w:w w:val="75"/>
          <w:sz w:val="56"/>
        </w:rPr>
        <w:t> </w:t>
      </w:r>
      <w:r>
        <w:rPr>
          <w:color w:val="FF8024"/>
          <w:w w:val="75"/>
          <w:sz w:val="56"/>
        </w:rPr>
        <w:t>in</w:t>
      </w:r>
      <w:r>
        <w:rPr>
          <w:color w:val="FF8024"/>
          <w:spacing w:val="-83"/>
          <w:w w:val="75"/>
          <w:sz w:val="56"/>
        </w:rPr>
        <w:t> </w:t>
      </w:r>
      <w:r>
        <w:rPr>
          <w:color w:val="FF8024"/>
          <w:w w:val="75"/>
          <w:sz w:val="56"/>
        </w:rPr>
        <w:t>Community</w:t>
      </w:r>
    </w:p>
    <w:p>
      <w:pPr>
        <w:spacing w:after="0"/>
        <w:jc w:val="center"/>
        <w:rPr>
          <w:sz w:val="56"/>
        </w:rPr>
        <w:sectPr>
          <w:pgSz w:w="11910" w:h="16840"/>
          <w:pgMar w:header="715" w:footer="1445" w:top="1320" w:bottom="1640" w:left="1200" w:right="1200"/>
        </w:sectPr>
      </w:pPr>
    </w:p>
    <w:p>
      <w:pPr>
        <w:spacing w:before="82"/>
        <w:ind w:left="0" w:right="112" w:firstLine="0"/>
        <w:jc w:val="right"/>
        <w:rPr>
          <w:sz w:val="20"/>
        </w:rPr>
      </w:pPr>
      <w:hyperlink w:history="true" w:anchor="_bookmark0">
        <w:r>
          <w:rPr>
            <w:sz w:val="20"/>
            <w:u w:val="single"/>
          </w:rPr>
          <w:t>Back to Index</w:t>
        </w:r>
      </w:hyperlink>
    </w:p>
    <w:p>
      <w:pPr>
        <w:pStyle w:val="BodyText"/>
        <w:rPr>
          <w:sz w:val="20"/>
        </w:rPr>
      </w:pPr>
    </w:p>
    <w:p>
      <w:pPr>
        <w:pStyle w:val="BodyText"/>
        <w:rPr>
          <w:sz w:val="20"/>
        </w:rPr>
      </w:pPr>
    </w:p>
    <w:p>
      <w:pPr>
        <w:pStyle w:val="BodyText"/>
        <w:spacing w:before="2"/>
        <w:rPr>
          <w:sz w:val="19"/>
        </w:rPr>
      </w:pPr>
      <w:r>
        <w:rPr/>
        <w:drawing>
          <wp:anchor distT="0" distB="0" distL="0" distR="0" allowOverlap="1" layoutInCell="1" locked="0" behindDoc="0" simplePos="0" relativeHeight="4">
            <wp:simplePos x="0" y="0"/>
            <wp:positionH relativeFrom="page">
              <wp:posOffset>914400</wp:posOffset>
            </wp:positionH>
            <wp:positionV relativeFrom="paragraph">
              <wp:posOffset>165137</wp:posOffset>
            </wp:positionV>
            <wp:extent cx="8955089" cy="5027390"/>
            <wp:effectExtent l="0" t="0" r="0" b="0"/>
            <wp:wrapTopAndBottom/>
            <wp:docPr id="13" name="image6.jpeg" descr="A picture containing text  Description automatically generated"/>
            <wp:cNvGraphicFramePr>
              <a:graphicFrameLocks noChangeAspect="1"/>
            </wp:cNvGraphicFramePr>
            <a:graphic>
              <a:graphicData uri="http://schemas.openxmlformats.org/drawingml/2006/picture">
                <pic:pic>
                  <pic:nvPicPr>
                    <pic:cNvPr id="14" name="image6.jpeg"/>
                    <pic:cNvPicPr/>
                  </pic:nvPicPr>
                  <pic:blipFill>
                    <a:blip r:embed="rId13" cstate="print"/>
                    <a:stretch>
                      <a:fillRect/>
                    </a:stretch>
                  </pic:blipFill>
                  <pic:spPr>
                    <a:xfrm>
                      <a:off x="0" y="0"/>
                      <a:ext cx="8955089" cy="5027390"/>
                    </a:xfrm>
                    <a:prstGeom prst="rect">
                      <a:avLst/>
                    </a:prstGeom>
                  </pic:spPr>
                </pic:pic>
              </a:graphicData>
            </a:graphic>
          </wp:anchor>
        </w:drawing>
      </w:r>
    </w:p>
    <w:p>
      <w:pPr>
        <w:spacing w:after="0"/>
        <w:rPr>
          <w:sz w:val="19"/>
        </w:rPr>
        <w:sectPr>
          <w:headerReference w:type="default" r:id="rId11"/>
          <w:footerReference w:type="default" r:id="rId12"/>
          <w:pgSz w:w="16840" w:h="11910" w:orient="landscape"/>
          <w:pgMar w:header="0" w:footer="1445" w:top="620" w:bottom="1640" w:left="1340" w:right="900"/>
        </w:sectPr>
      </w:pPr>
    </w:p>
    <w:p>
      <w:pPr>
        <w:pStyle w:val="BodyText"/>
        <w:rPr>
          <w:sz w:val="20"/>
        </w:rPr>
      </w:pPr>
    </w:p>
    <w:p>
      <w:pPr>
        <w:pStyle w:val="BodyText"/>
        <w:rPr>
          <w:sz w:val="20"/>
        </w:rPr>
      </w:pPr>
    </w:p>
    <w:p>
      <w:pPr>
        <w:pStyle w:val="BodyText"/>
        <w:rPr>
          <w:sz w:val="20"/>
        </w:rPr>
      </w:pPr>
    </w:p>
    <w:p>
      <w:pPr>
        <w:pStyle w:val="BodyText"/>
        <w:spacing w:before="1"/>
        <w:rPr>
          <w:sz w:val="17"/>
        </w:rPr>
      </w:pPr>
    </w:p>
    <w:p>
      <w:pPr>
        <w:spacing w:line="1747" w:lineRule="exact" w:before="0"/>
        <w:ind w:left="1136" w:right="1395" w:firstLine="0"/>
        <w:jc w:val="center"/>
        <w:rPr>
          <w:sz w:val="160"/>
        </w:rPr>
      </w:pPr>
      <w:bookmarkStart w:name="_bookmark5" w:id="7"/>
      <w:bookmarkEnd w:id="7"/>
      <w:r>
        <w:rPr/>
      </w:r>
      <w:r>
        <w:rPr>
          <w:color w:val="FF8024"/>
          <w:w w:val="65"/>
          <w:sz w:val="160"/>
        </w:rPr>
        <w:t>Costs</w:t>
      </w:r>
    </w:p>
    <w:p>
      <w:pPr>
        <w:pStyle w:val="BodyText"/>
        <w:spacing w:before="2" w:after="1"/>
        <w:rPr>
          <w:sz w:val="25"/>
        </w:rPr>
      </w:pPr>
    </w:p>
    <w:tbl>
      <w:tblPr>
        <w:tblW w:w="0" w:type="auto"/>
        <w:jc w:val="left"/>
        <w:tblInd w:w="479" w:type="dxa"/>
        <w:tblBorders>
          <w:top w:val="dashSmallGap" w:sz="24" w:space="0" w:color="EC7C30"/>
          <w:left w:val="dashSmallGap" w:sz="24" w:space="0" w:color="EC7C30"/>
          <w:bottom w:val="dashSmallGap" w:sz="24" w:space="0" w:color="EC7C30"/>
          <w:right w:val="dashSmallGap" w:sz="24" w:space="0" w:color="EC7C30"/>
          <w:insideH w:val="dashSmallGap" w:sz="24" w:space="0" w:color="EC7C30"/>
          <w:insideV w:val="dashSmallGap" w:sz="24" w:space="0" w:color="EC7C30"/>
        </w:tblBorders>
        <w:tblLayout w:type="fixed"/>
        <w:tblCellMar>
          <w:top w:w="0" w:type="dxa"/>
          <w:left w:w="0" w:type="dxa"/>
          <w:bottom w:w="0" w:type="dxa"/>
          <w:right w:w="0" w:type="dxa"/>
        </w:tblCellMar>
        <w:tblLook w:val="01E0"/>
      </w:tblPr>
      <w:tblGrid>
        <w:gridCol w:w="2993"/>
        <w:gridCol w:w="2994"/>
        <w:gridCol w:w="2994"/>
      </w:tblGrid>
      <w:tr>
        <w:trPr>
          <w:trHeight w:val="1656" w:hRule="atLeast"/>
        </w:trPr>
        <w:tc>
          <w:tcPr>
            <w:tcW w:w="2993" w:type="dxa"/>
            <w:tcBorders>
              <w:top w:val="dashSmallGap" w:sz="18" w:space="0" w:color="EC7C30"/>
              <w:bottom w:val="dashSmallGap" w:sz="18" w:space="0" w:color="EC7C30"/>
            </w:tcBorders>
          </w:tcPr>
          <w:p>
            <w:pPr>
              <w:pStyle w:val="TableParagraph"/>
              <w:spacing w:before="2"/>
              <w:ind w:left="0"/>
              <w:rPr>
                <w:sz w:val="24"/>
              </w:rPr>
            </w:pPr>
          </w:p>
          <w:p>
            <w:pPr>
              <w:pStyle w:val="TableParagraph"/>
              <w:spacing w:line="276" w:lineRule="exact"/>
              <w:ind w:left="875"/>
              <w:rPr>
                <w:b/>
                <w:sz w:val="24"/>
              </w:rPr>
            </w:pPr>
            <w:r>
              <w:rPr>
                <w:b/>
                <w:sz w:val="24"/>
              </w:rPr>
              <w:t>7-Day</w:t>
            </w:r>
            <w:r>
              <w:rPr>
                <w:b/>
                <w:spacing w:val="-8"/>
                <w:sz w:val="24"/>
              </w:rPr>
              <w:t> </w:t>
            </w:r>
            <w:r>
              <w:rPr>
                <w:b/>
                <w:sz w:val="24"/>
              </w:rPr>
              <w:t>Trial</w:t>
            </w:r>
          </w:p>
          <w:p>
            <w:pPr>
              <w:pStyle w:val="TableParagraph"/>
              <w:spacing w:line="552" w:lineRule="exact"/>
              <w:ind w:left="849"/>
              <w:rPr>
                <w:b/>
                <w:sz w:val="48"/>
              </w:rPr>
            </w:pPr>
            <w:r>
              <w:rPr>
                <w:b/>
                <w:sz w:val="48"/>
              </w:rPr>
              <w:t>FREE</w:t>
            </w:r>
          </w:p>
        </w:tc>
        <w:tc>
          <w:tcPr>
            <w:tcW w:w="2994" w:type="dxa"/>
            <w:tcBorders>
              <w:top w:val="dashSmallGap" w:sz="18" w:space="0" w:color="EC7C30"/>
              <w:bottom w:val="dashSmallGap" w:sz="18" w:space="0" w:color="EC7C30"/>
            </w:tcBorders>
          </w:tcPr>
          <w:p>
            <w:pPr>
              <w:pStyle w:val="TableParagraph"/>
              <w:spacing w:before="2"/>
              <w:ind w:left="0"/>
              <w:rPr>
                <w:sz w:val="24"/>
              </w:rPr>
            </w:pPr>
          </w:p>
          <w:p>
            <w:pPr>
              <w:pStyle w:val="TableParagraph"/>
              <w:spacing w:line="276" w:lineRule="exact"/>
              <w:ind w:left="296" w:right="251"/>
              <w:jc w:val="center"/>
              <w:rPr>
                <w:b/>
                <w:sz w:val="24"/>
              </w:rPr>
            </w:pPr>
            <w:r>
              <w:rPr>
                <w:b/>
                <w:sz w:val="24"/>
              </w:rPr>
              <w:t>Annual Subscription</w:t>
            </w:r>
          </w:p>
          <w:p>
            <w:pPr>
              <w:pStyle w:val="TableParagraph"/>
              <w:spacing w:line="552" w:lineRule="exact"/>
              <w:ind w:left="295" w:right="251"/>
              <w:jc w:val="center"/>
              <w:rPr>
                <w:b/>
                <w:sz w:val="48"/>
              </w:rPr>
            </w:pPr>
            <w:r>
              <w:rPr>
                <w:b/>
                <w:sz w:val="48"/>
              </w:rPr>
              <w:t>£190</w:t>
            </w:r>
          </w:p>
          <w:p>
            <w:pPr>
              <w:pStyle w:val="TableParagraph"/>
              <w:ind w:left="293" w:right="251"/>
              <w:jc w:val="center"/>
              <w:rPr>
                <w:b/>
                <w:sz w:val="24"/>
              </w:rPr>
            </w:pPr>
            <w:r>
              <w:rPr>
                <w:b/>
                <w:sz w:val="24"/>
              </w:rPr>
              <w:t>+VAT</w:t>
            </w:r>
          </w:p>
        </w:tc>
        <w:tc>
          <w:tcPr>
            <w:tcW w:w="2994" w:type="dxa"/>
            <w:tcBorders>
              <w:top w:val="dashSmallGap" w:sz="18" w:space="0" w:color="EC7C30"/>
              <w:bottom w:val="dashSmallGap" w:sz="18" w:space="0" w:color="EC7C30"/>
              <w:right w:val="dashSmallGap" w:sz="18" w:space="0" w:color="EC7C30"/>
            </w:tcBorders>
          </w:tcPr>
          <w:p>
            <w:pPr>
              <w:pStyle w:val="TableParagraph"/>
              <w:spacing w:before="2"/>
              <w:ind w:left="0"/>
              <w:rPr>
                <w:sz w:val="24"/>
              </w:rPr>
            </w:pPr>
          </w:p>
          <w:p>
            <w:pPr>
              <w:pStyle w:val="TableParagraph"/>
              <w:spacing w:line="276" w:lineRule="exact"/>
              <w:ind w:left="188" w:right="150"/>
              <w:jc w:val="center"/>
              <w:rPr>
                <w:b/>
                <w:sz w:val="24"/>
              </w:rPr>
            </w:pPr>
            <w:r>
              <w:rPr>
                <w:b/>
                <w:sz w:val="24"/>
              </w:rPr>
              <w:t>Annual Subscription</w:t>
            </w:r>
          </w:p>
          <w:p>
            <w:pPr>
              <w:pStyle w:val="TableParagraph"/>
              <w:spacing w:line="552" w:lineRule="exact"/>
              <w:ind w:left="187" w:right="150"/>
              <w:jc w:val="center"/>
              <w:rPr>
                <w:b/>
                <w:sz w:val="48"/>
              </w:rPr>
            </w:pPr>
            <w:r>
              <w:rPr>
                <w:b/>
                <w:sz w:val="48"/>
              </w:rPr>
              <w:t>£390</w:t>
            </w:r>
          </w:p>
          <w:p>
            <w:pPr>
              <w:pStyle w:val="TableParagraph"/>
              <w:ind w:left="187" w:right="150"/>
              <w:jc w:val="center"/>
              <w:rPr>
                <w:b/>
                <w:sz w:val="24"/>
              </w:rPr>
            </w:pPr>
            <w:r>
              <w:rPr>
                <w:b/>
                <w:sz w:val="24"/>
              </w:rPr>
              <w:t>+VAT</w:t>
            </w:r>
          </w:p>
        </w:tc>
      </w:tr>
      <w:tr>
        <w:trPr>
          <w:trHeight w:val="556" w:hRule="atLeast"/>
        </w:trPr>
        <w:tc>
          <w:tcPr>
            <w:tcW w:w="2993" w:type="dxa"/>
            <w:tcBorders>
              <w:top w:val="dashSmallGap" w:sz="18" w:space="0" w:color="EC7C30"/>
              <w:bottom w:val="nil"/>
            </w:tcBorders>
          </w:tcPr>
          <w:p>
            <w:pPr>
              <w:pStyle w:val="TableParagraph"/>
              <w:ind w:left="0"/>
              <w:rPr>
                <w:sz w:val="24"/>
              </w:rPr>
            </w:pPr>
          </w:p>
          <w:p>
            <w:pPr>
              <w:pStyle w:val="TableParagraph"/>
              <w:spacing w:line="260" w:lineRule="exact" w:before="1"/>
              <w:ind w:left="372" w:right="327"/>
              <w:jc w:val="center"/>
              <w:rPr>
                <w:sz w:val="24"/>
              </w:rPr>
            </w:pPr>
            <w:r>
              <w:rPr>
                <w:sz w:val="24"/>
              </w:rPr>
              <w:t>7-day trial to the full</w:t>
            </w:r>
          </w:p>
        </w:tc>
        <w:tc>
          <w:tcPr>
            <w:tcW w:w="2994" w:type="dxa"/>
            <w:tcBorders>
              <w:top w:val="dashSmallGap" w:sz="18" w:space="0" w:color="EC7C30"/>
              <w:bottom w:val="nil"/>
            </w:tcBorders>
          </w:tcPr>
          <w:p>
            <w:pPr>
              <w:pStyle w:val="TableParagraph"/>
              <w:ind w:left="0"/>
              <w:rPr>
                <w:sz w:val="24"/>
              </w:rPr>
            </w:pPr>
          </w:p>
          <w:p>
            <w:pPr>
              <w:pStyle w:val="TableParagraph"/>
              <w:spacing w:line="260" w:lineRule="exact" w:before="1"/>
              <w:ind w:left="294" w:right="251"/>
              <w:jc w:val="center"/>
              <w:rPr>
                <w:sz w:val="24"/>
              </w:rPr>
            </w:pPr>
            <w:r>
              <w:rPr>
                <w:sz w:val="24"/>
              </w:rPr>
              <w:t>When purchased</w:t>
            </w:r>
          </w:p>
        </w:tc>
        <w:tc>
          <w:tcPr>
            <w:tcW w:w="2994" w:type="dxa"/>
            <w:tcBorders>
              <w:top w:val="dashSmallGap" w:sz="18" w:space="0" w:color="EC7C30"/>
              <w:bottom w:val="nil"/>
              <w:right w:val="dashSmallGap" w:sz="18" w:space="0" w:color="EC7C30"/>
            </w:tcBorders>
          </w:tcPr>
          <w:p>
            <w:pPr>
              <w:pStyle w:val="TableParagraph"/>
              <w:ind w:left="0"/>
              <w:rPr>
                <w:sz w:val="24"/>
              </w:rPr>
            </w:pPr>
          </w:p>
          <w:p>
            <w:pPr>
              <w:pStyle w:val="TableParagraph"/>
              <w:spacing w:line="260" w:lineRule="exact" w:before="1"/>
              <w:ind w:left="188" w:right="150"/>
              <w:jc w:val="center"/>
              <w:rPr>
                <w:sz w:val="24"/>
              </w:rPr>
            </w:pPr>
            <w:r>
              <w:rPr>
                <w:sz w:val="24"/>
              </w:rPr>
              <w:t>When purchased on its</w:t>
            </w:r>
          </w:p>
        </w:tc>
      </w:tr>
      <w:tr>
        <w:trPr>
          <w:trHeight w:val="275" w:hRule="atLeast"/>
        </w:trPr>
        <w:tc>
          <w:tcPr>
            <w:tcW w:w="2993" w:type="dxa"/>
            <w:tcBorders>
              <w:top w:val="nil"/>
              <w:bottom w:val="nil"/>
            </w:tcBorders>
          </w:tcPr>
          <w:p>
            <w:pPr>
              <w:pStyle w:val="TableParagraph"/>
              <w:spacing w:line="256" w:lineRule="exact"/>
              <w:ind w:left="372" w:right="327"/>
              <w:jc w:val="center"/>
              <w:rPr>
                <w:sz w:val="24"/>
              </w:rPr>
            </w:pPr>
            <w:r>
              <w:rPr>
                <w:sz w:val="24"/>
              </w:rPr>
              <w:t>programme</w:t>
            </w:r>
          </w:p>
        </w:tc>
        <w:tc>
          <w:tcPr>
            <w:tcW w:w="2994" w:type="dxa"/>
            <w:tcBorders>
              <w:top w:val="nil"/>
              <w:bottom w:val="nil"/>
            </w:tcBorders>
          </w:tcPr>
          <w:p>
            <w:pPr>
              <w:pStyle w:val="TableParagraph"/>
              <w:spacing w:line="256" w:lineRule="exact"/>
              <w:ind w:left="294" w:right="251"/>
              <w:jc w:val="center"/>
              <w:rPr>
                <w:sz w:val="24"/>
              </w:rPr>
            </w:pPr>
            <w:r>
              <w:rPr>
                <w:sz w:val="24"/>
              </w:rPr>
              <w:t>alongside a full-priced</w:t>
            </w:r>
          </w:p>
        </w:tc>
        <w:tc>
          <w:tcPr>
            <w:tcW w:w="2994" w:type="dxa"/>
            <w:tcBorders>
              <w:top w:val="nil"/>
              <w:bottom w:val="nil"/>
              <w:right w:val="dashSmallGap" w:sz="18" w:space="0" w:color="EC7C30"/>
            </w:tcBorders>
          </w:tcPr>
          <w:p>
            <w:pPr>
              <w:pStyle w:val="TableParagraph"/>
              <w:spacing w:line="256" w:lineRule="exact"/>
              <w:ind w:left="189" w:right="150"/>
              <w:jc w:val="center"/>
              <w:rPr>
                <w:sz w:val="24"/>
              </w:rPr>
            </w:pPr>
            <w:r>
              <w:rPr>
                <w:sz w:val="24"/>
              </w:rPr>
              <w:t>own as a single</w:t>
            </w:r>
          </w:p>
        </w:tc>
      </w:tr>
      <w:tr>
        <w:trPr>
          <w:trHeight w:val="276" w:hRule="atLeast"/>
        </w:trPr>
        <w:tc>
          <w:tcPr>
            <w:tcW w:w="2993" w:type="dxa"/>
            <w:tcBorders>
              <w:top w:val="nil"/>
              <w:bottom w:val="nil"/>
            </w:tcBorders>
          </w:tcPr>
          <w:p>
            <w:pPr>
              <w:pStyle w:val="TableParagraph"/>
              <w:ind w:left="0"/>
              <w:rPr>
                <w:rFonts w:ascii="Times New Roman"/>
                <w:sz w:val="20"/>
              </w:rPr>
            </w:pPr>
          </w:p>
        </w:tc>
        <w:tc>
          <w:tcPr>
            <w:tcW w:w="2994" w:type="dxa"/>
            <w:tcBorders>
              <w:top w:val="nil"/>
              <w:bottom w:val="nil"/>
            </w:tcBorders>
          </w:tcPr>
          <w:p>
            <w:pPr>
              <w:pStyle w:val="TableParagraph"/>
              <w:spacing w:line="256" w:lineRule="exact"/>
              <w:ind w:left="296" w:right="251"/>
              <w:jc w:val="center"/>
              <w:rPr>
                <w:sz w:val="24"/>
              </w:rPr>
            </w:pPr>
            <w:r>
              <w:rPr>
                <w:sz w:val="24"/>
              </w:rPr>
              <w:t>annual subscription to</w:t>
            </w:r>
          </w:p>
        </w:tc>
        <w:tc>
          <w:tcPr>
            <w:tcW w:w="2994" w:type="dxa"/>
            <w:tcBorders>
              <w:top w:val="nil"/>
              <w:bottom w:val="nil"/>
              <w:right w:val="dashSmallGap" w:sz="18" w:space="0" w:color="EC7C30"/>
            </w:tcBorders>
          </w:tcPr>
          <w:p>
            <w:pPr>
              <w:pStyle w:val="TableParagraph"/>
              <w:spacing w:line="256" w:lineRule="exact"/>
              <w:ind w:left="189" w:right="150"/>
              <w:jc w:val="center"/>
              <w:rPr>
                <w:sz w:val="24"/>
              </w:rPr>
            </w:pPr>
            <w:r>
              <w:rPr>
                <w:sz w:val="24"/>
              </w:rPr>
              <w:t>programme</w:t>
            </w:r>
          </w:p>
        </w:tc>
      </w:tr>
      <w:tr>
        <w:trPr>
          <w:trHeight w:val="546" w:hRule="atLeast"/>
        </w:trPr>
        <w:tc>
          <w:tcPr>
            <w:tcW w:w="2993" w:type="dxa"/>
            <w:tcBorders>
              <w:top w:val="nil"/>
              <w:bottom w:val="dashSmallGap" w:sz="18" w:space="0" w:color="EC7C30"/>
            </w:tcBorders>
          </w:tcPr>
          <w:p>
            <w:pPr>
              <w:pStyle w:val="TableParagraph"/>
              <w:ind w:left="0"/>
              <w:rPr>
                <w:rFonts w:ascii="Times New Roman"/>
                <w:sz w:val="24"/>
              </w:rPr>
            </w:pPr>
          </w:p>
        </w:tc>
        <w:tc>
          <w:tcPr>
            <w:tcW w:w="2994" w:type="dxa"/>
            <w:tcBorders>
              <w:top w:val="nil"/>
              <w:bottom w:val="dashSmallGap" w:sz="18" w:space="0" w:color="EC7C30"/>
            </w:tcBorders>
          </w:tcPr>
          <w:p>
            <w:pPr>
              <w:pStyle w:val="TableParagraph"/>
              <w:spacing w:line="272" w:lineRule="exact"/>
              <w:ind w:left="296" w:right="251"/>
              <w:jc w:val="center"/>
              <w:rPr>
                <w:sz w:val="24"/>
              </w:rPr>
            </w:pPr>
            <w:r>
              <w:rPr>
                <w:sz w:val="24"/>
              </w:rPr>
              <w:t>Collective Worship</w:t>
            </w:r>
          </w:p>
        </w:tc>
        <w:tc>
          <w:tcPr>
            <w:tcW w:w="2994" w:type="dxa"/>
            <w:tcBorders>
              <w:top w:val="nil"/>
              <w:bottom w:val="dashSmallGap" w:sz="18" w:space="0" w:color="EC7C30"/>
              <w:right w:val="dashSmallGap" w:sz="18" w:space="0" w:color="EC7C30"/>
            </w:tcBorders>
          </w:tcPr>
          <w:p>
            <w:pPr>
              <w:pStyle w:val="TableParagraph"/>
              <w:ind w:left="0"/>
              <w:rPr>
                <w:rFonts w:ascii="Times New Roman"/>
                <w:sz w:val="24"/>
              </w:rPr>
            </w:pPr>
          </w:p>
        </w:tc>
      </w:tr>
      <w:tr>
        <w:trPr>
          <w:trHeight w:val="1482" w:hRule="atLeast"/>
        </w:trPr>
        <w:tc>
          <w:tcPr>
            <w:tcW w:w="2993" w:type="dxa"/>
            <w:tcBorders>
              <w:top w:val="dashSmallGap" w:sz="18" w:space="0" w:color="EC7C30"/>
              <w:bottom w:val="dashSmallGap" w:sz="18" w:space="0" w:color="EC7C30"/>
            </w:tcBorders>
          </w:tcPr>
          <w:p>
            <w:pPr>
              <w:pStyle w:val="TableParagraph"/>
              <w:spacing w:before="1"/>
              <w:ind w:left="0"/>
              <w:rPr>
                <w:sz w:val="24"/>
              </w:rPr>
            </w:pPr>
          </w:p>
          <w:p>
            <w:pPr>
              <w:pStyle w:val="TableParagraph"/>
              <w:ind w:left="1169"/>
              <w:rPr>
                <w:sz w:val="20"/>
              </w:rPr>
            </w:pPr>
            <w:r>
              <w:rPr>
                <w:sz w:val="20"/>
              </w:rPr>
              <w:drawing>
                <wp:inline distT="0" distB="0" distL="0" distR="0">
                  <wp:extent cx="477820" cy="590931"/>
                  <wp:effectExtent l="0" t="0" r="0" b="0"/>
                  <wp:docPr id="17" name="image7.jpeg"/>
                  <wp:cNvGraphicFramePr>
                    <a:graphicFrameLocks noChangeAspect="1"/>
                  </wp:cNvGraphicFramePr>
                  <a:graphic>
                    <a:graphicData uri="http://schemas.openxmlformats.org/drawingml/2006/picture">
                      <pic:pic>
                        <pic:nvPicPr>
                          <pic:cNvPr id="18" name="image7.jpeg"/>
                          <pic:cNvPicPr/>
                        </pic:nvPicPr>
                        <pic:blipFill>
                          <a:blip r:embed="rId16" cstate="print"/>
                          <a:stretch>
                            <a:fillRect/>
                          </a:stretch>
                        </pic:blipFill>
                        <pic:spPr>
                          <a:xfrm>
                            <a:off x="0" y="0"/>
                            <a:ext cx="477820" cy="590931"/>
                          </a:xfrm>
                          <a:prstGeom prst="rect">
                            <a:avLst/>
                          </a:prstGeom>
                        </pic:spPr>
                      </pic:pic>
                    </a:graphicData>
                  </a:graphic>
                </wp:inline>
              </w:drawing>
            </w:r>
            <w:r>
              <w:rPr>
                <w:sz w:val="20"/>
              </w:rPr>
            </w:r>
          </w:p>
        </w:tc>
        <w:tc>
          <w:tcPr>
            <w:tcW w:w="2994" w:type="dxa"/>
            <w:tcBorders>
              <w:top w:val="dashSmallGap" w:sz="18" w:space="0" w:color="EC7C30"/>
              <w:bottom w:val="dashSmallGap" w:sz="18" w:space="0" w:color="EC7C30"/>
            </w:tcBorders>
          </w:tcPr>
          <w:p>
            <w:pPr>
              <w:pStyle w:val="TableParagraph"/>
              <w:spacing w:before="1"/>
              <w:ind w:left="0"/>
              <w:rPr>
                <w:sz w:val="24"/>
              </w:rPr>
            </w:pPr>
          </w:p>
          <w:p>
            <w:pPr>
              <w:pStyle w:val="TableParagraph"/>
              <w:ind w:left="215"/>
              <w:rPr>
                <w:sz w:val="20"/>
              </w:rPr>
            </w:pPr>
            <w:r>
              <w:rPr>
                <w:sz w:val="20"/>
              </w:rPr>
              <w:drawing>
                <wp:inline distT="0" distB="0" distL="0" distR="0">
                  <wp:extent cx="1634649" cy="590931"/>
                  <wp:effectExtent l="0" t="0" r="0" b="0"/>
                  <wp:docPr id="19" name="image8.png"/>
                  <wp:cNvGraphicFramePr>
                    <a:graphicFrameLocks noChangeAspect="1"/>
                  </wp:cNvGraphicFramePr>
                  <a:graphic>
                    <a:graphicData uri="http://schemas.openxmlformats.org/drawingml/2006/picture">
                      <pic:pic>
                        <pic:nvPicPr>
                          <pic:cNvPr id="20" name="image8.png"/>
                          <pic:cNvPicPr/>
                        </pic:nvPicPr>
                        <pic:blipFill>
                          <a:blip r:embed="rId17" cstate="print"/>
                          <a:stretch>
                            <a:fillRect/>
                          </a:stretch>
                        </pic:blipFill>
                        <pic:spPr>
                          <a:xfrm>
                            <a:off x="0" y="0"/>
                            <a:ext cx="1634649" cy="590931"/>
                          </a:xfrm>
                          <a:prstGeom prst="rect">
                            <a:avLst/>
                          </a:prstGeom>
                        </pic:spPr>
                      </pic:pic>
                    </a:graphicData>
                  </a:graphic>
                </wp:inline>
              </w:drawing>
            </w:r>
            <w:r>
              <w:rPr>
                <w:sz w:val="20"/>
              </w:rPr>
            </w:r>
          </w:p>
        </w:tc>
        <w:tc>
          <w:tcPr>
            <w:tcW w:w="2994" w:type="dxa"/>
            <w:tcBorders>
              <w:top w:val="dashSmallGap" w:sz="18" w:space="0" w:color="EC7C30"/>
              <w:bottom w:val="dashSmallGap" w:sz="18" w:space="0" w:color="EC7C30"/>
              <w:right w:val="dashSmallGap" w:sz="18" w:space="0" w:color="EC7C30"/>
            </w:tcBorders>
          </w:tcPr>
          <w:p>
            <w:pPr>
              <w:pStyle w:val="TableParagraph"/>
              <w:spacing w:before="1"/>
              <w:ind w:left="0"/>
              <w:rPr>
                <w:sz w:val="24"/>
              </w:rPr>
            </w:pPr>
          </w:p>
          <w:p>
            <w:pPr>
              <w:pStyle w:val="TableParagraph"/>
              <w:ind w:left="1116"/>
              <w:rPr>
                <w:sz w:val="20"/>
              </w:rPr>
            </w:pPr>
            <w:r>
              <w:rPr>
                <w:sz w:val="20"/>
              </w:rPr>
              <w:drawing>
                <wp:inline distT="0" distB="0" distL="0" distR="0">
                  <wp:extent cx="435906" cy="569976"/>
                  <wp:effectExtent l="0" t="0" r="0" b="0"/>
                  <wp:docPr id="21" name="image9.jpeg"/>
                  <wp:cNvGraphicFramePr>
                    <a:graphicFrameLocks noChangeAspect="1"/>
                  </wp:cNvGraphicFramePr>
                  <a:graphic>
                    <a:graphicData uri="http://schemas.openxmlformats.org/drawingml/2006/picture">
                      <pic:pic>
                        <pic:nvPicPr>
                          <pic:cNvPr id="22" name="image9.jpeg"/>
                          <pic:cNvPicPr/>
                        </pic:nvPicPr>
                        <pic:blipFill>
                          <a:blip r:embed="rId18" cstate="print"/>
                          <a:stretch>
                            <a:fillRect/>
                          </a:stretch>
                        </pic:blipFill>
                        <pic:spPr>
                          <a:xfrm>
                            <a:off x="0" y="0"/>
                            <a:ext cx="435906" cy="569976"/>
                          </a:xfrm>
                          <a:prstGeom prst="rect">
                            <a:avLst/>
                          </a:prstGeom>
                        </pic:spPr>
                      </pic:pic>
                    </a:graphicData>
                  </a:graphic>
                </wp:inline>
              </w:drawing>
            </w:r>
            <w:r>
              <w:rPr>
                <w:sz w:val="20"/>
              </w:rPr>
            </w:r>
          </w:p>
        </w:tc>
      </w:tr>
      <w:tr>
        <w:trPr>
          <w:trHeight w:val="1373" w:hRule="atLeast"/>
        </w:trPr>
        <w:tc>
          <w:tcPr>
            <w:tcW w:w="2993" w:type="dxa"/>
            <w:tcBorders>
              <w:top w:val="dashSmallGap" w:sz="18" w:space="0" w:color="EC7C30"/>
              <w:bottom w:val="nil"/>
            </w:tcBorders>
          </w:tcPr>
          <w:p>
            <w:pPr>
              <w:pStyle w:val="TableParagraph"/>
              <w:ind w:left="0"/>
              <w:rPr>
                <w:sz w:val="24"/>
              </w:rPr>
            </w:pPr>
          </w:p>
          <w:p>
            <w:pPr>
              <w:pStyle w:val="TableParagraph"/>
              <w:numPr>
                <w:ilvl w:val="0"/>
                <w:numId w:val="4"/>
              </w:numPr>
              <w:tabs>
                <w:tab w:pos="461" w:val="left" w:leader="none"/>
                <w:tab w:pos="462" w:val="left" w:leader="none"/>
              </w:tabs>
              <w:spacing w:line="240" w:lineRule="auto" w:before="0" w:after="0"/>
              <w:ind w:left="461" w:right="227" w:hanging="360"/>
              <w:jc w:val="left"/>
              <w:rPr>
                <w:sz w:val="24"/>
              </w:rPr>
            </w:pPr>
            <w:r>
              <w:rPr>
                <w:b/>
                <w:sz w:val="24"/>
              </w:rPr>
              <w:t>Full access </w:t>
            </w:r>
            <w:r>
              <w:rPr>
                <w:sz w:val="24"/>
              </w:rPr>
              <w:t>to the entire programme for 7</w:t>
            </w:r>
            <w:r>
              <w:rPr>
                <w:spacing w:val="-1"/>
                <w:sz w:val="24"/>
              </w:rPr>
              <w:t> </w:t>
            </w:r>
            <w:r>
              <w:rPr>
                <w:sz w:val="24"/>
              </w:rPr>
              <w:t>days</w:t>
            </w:r>
          </w:p>
        </w:tc>
        <w:tc>
          <w:tcPr>
            <w:tcW w:w="2994" w:type="dxa"/>
            <w:vMerge w:val="restart"/>
            <w:tcBorders>
              <w:top w:val="dashSmallGap" w:sz="18" w:space="0" w:color="EC7C30"/>
              <w:bottom w:val="dashSmallGap" w:sz="18" w:space="0" w:color="EC7C30"/>
            </w:tcBorders>
          </w:tcPr>
          <w:p>
            <w:pPr>
              <w:pStyle w:val="TableParagraph"/>
              <w:ind w:left="0"/>
              <w:rPr>
                <w:sz w:val="24"/>
              </w:rPr>
            </w:pPr>
          </w:p>
          <w:p>
            <w:pPr>
              <w:pStyle w:val="TableParagraph"/>
              <w:numPr>
                <w:ilvl w:val="0"/>
                <w:numId w:val="5"/>
              </w:numPr>
              <w:tabs>
                <w:tab w:pos="461" w:val="left" w:leader="none"/>
                <w:tab w:pos="462" w:val="left" w:leader="none"/>
              </w:tabs>
              <w:spacing w:line="240" w:lineRule="auto" w:before="0" w:after="0"/>
              <w:ind w:left="461" w:right="122" w:hanging="360"/>
              <w:jc w:val="left"/>
              <w:rPr>
                <w:sz w:val="24"/>
              </w:rPr>
            </w:pPr>
            <w:r>
              <w:rPr>
                <w:b/>
                <w:sz w:val="24"/>
              </w:rPr>
              <w:t>Full access </w:t>
            </w:r>
            <w:r>
              <w:rPr>
                <w:sz w:val="24"/>
              </w:rPr>
              <w:t>to programme resources between September 2019 and July</w:t>
            </w:r>
            <w:r>
              <w:rPr>
                <w:spacing w:val="-5"/>
                <w:sz w:val="24"/>
              </w:rPr>
              <w:t> </w:t>
            </w:r>
            <w:r>
              <w:rPr>
                <w:sz w:val="24"/>
              </w:rPr>
              <w:t>2020</w:t>
            </w:r>
          </w:p>
          <w:p>
            <w:pPr>
              <w:pStyle w:val="TableParagraph"/>
              <w:numPr>
                <w:ilvl w:val="0"/>
                <w:numId w:val="5"/>
              </w:numPr>
              <w:tabs>
                <w:tab w:pos="461" w:val="left" w:leader="none"/>
                <w:tab w:pos="462" w:val="left" w:leader="none"/>
              </w:tabs>
              <w:spacing w:line="240" w:lineRule="auto" w:before="0" w:after="0"/>
              <w:ind w:left="461" w:right="96" w:hanging="360"/>
              <w:jc w:val="left"/>
              <w:rPr>
                <w:sz w:val="24"/>
              </w:rPr>
            </w:pPr>
            <w:r>
              <w:rPr>
                <w:b/>
                <w:sz w:val="24"/>
              </w:rPr>
              <w:t>All teachers </w:t>
            </w:r>
            <w:r>
              <w:rPr>
                <w:sz w:val="24"/>
              </w:rPr>
              <w:t>in school given personal</w:t>
            </w:r>
            <w:r>
              <w:rPr>
                <w:spacing w:val="-9"/>
                <w:sz w:val="24"/>
              </w:rPr>
              <w:t> </w:t>
            </w:r>
            <w:r>
              <w:rPr>
                <w:sz w:val="24"/>
              </w:rPr>
              <w:t>access</w:t>
            </w:r>
          </w:p>
          <w:p>
            <w:pPr>
              <w:pStyle w:val="TableParagraph"/>
              <w:numPr>
                <w:ilvl w:val="0"/>
                <w:numId w:val="5"/>
              </w:numPr>
              <w:tabs>
                <w:tab w:pos="461" w:val="left" w:leader="none"/>
                <w:tab w:pos="462" w:val="left" w:leader="none"/>
              </w:tabs>
              <w:spacing w:line="240" w:lineRule="auto" w:before="0" w:after="0"/>
              <w:ind w:left="461" w:right="297" w:hanging="360"/>
              <w:jc w:val="left"/>
              <w:rPr>
                <w:sz w:val="24"/>
              </w:rPr>
            </w:pPr>
            <w:r>
              <w:rPr>
                <w:b/>
                <w:sz w:val="24"/>
              </w:rPr>
              <w:t>All parents </w:t>
            </w:r>
            <w:r>
              <w:rPr>
                <w:sz w:val="24"/>
              </w:rPr>
              <w:t>given access to the</w:t>
            </w:r>
            <w:r>
              <w:rPr>
                <w:spacing w:val="-11"/>
                <w:sz w:val="24"/>
              </w:rPr>
              <w:t> </w:t>
            </w:r>
            <w:r>
              <w:rPr>
                <w:sz w:val="24"/>
              </w:rPr>
              <w:t>Online Parent</w:t>
            </w:r>
            <w:r>
              <w:rPr>
                <w:spacing w:val="-1"/>
                <w:sz w:val="24"/>
              </w:rPr>
              <w:t> </w:t>
            </w:r>
            <w:r>
              <w:rPr>
                <w:sz w:val="24"/>
              </w:rPr>
              <w:t>Portal</w:t>
            </w:r>
          </w:p>
          <w:p>
            <w:pPr>
              <w:pStyle w:val="TableParagraph"/>
              <w:numPr>
                <w:ilvl w:val="0"/>
                <w:numId w:val="5"/>
              </w:numPr>
              <w:tabs>
                <w:tab w:pos="461" w:val="left" w:leader="none"/>
                <w:tab w:pos="462" w:val="left" w:leader="none"/>
              </w:tabs>
              <w:spacing w:line="291" w:lineRule="exact" w:before="0" w:after="0"/>
              <w:ind w:left="461" w:right="0" w:hanging="361"/>
              <w:jc w:val="left"/>
              <w:rPr>
                <w:sz w:val="24"/>
              </w:rPr>
            </w:pPr>
            <w:r>
              <w:rPr>
                <w:b/>
                <w:sz w:val="24"/>
              </w:rPr>
              <w:t>Combined</w:t>
            </w:r>
            <w:r>
              <w:rPr>
                <w:b/>
                <w:spacing w:val="-7"/>
                <w:sz w:val="24"/>
              </w:rPr>
              <w:t> </w:t>
            </w:r>
            <w:r>
              <w:rPr>
                <w:sz w:val="24"/>
              </w:rPr>
              <w:t>total</w:t>
            </w:r>
          </w:p>
          <w:p>
            <w:pPr>
              <w:pStyle w:val="TableParagraph"/>
              <w:spacing w:line="275" w:lineRule="exact"/>
              <w:ind w:left="461"/>
              <w:rPr>
                <w:sz w:val="24"/>
              </w:rPr>
            </w:pPr>
            <w:r>
              <w:rPr>
                <w:sz w:val="24"/>
              </w:rPr>
              <w:t>£680+VAT</w:t>
            </w:r>
          </w:p>
          <w:p>
            <w:pPr>
              <w:pStyle w:val="TableParagraph"/>
              <w:numPr>
                <w:ilvl w:val="0"/>
                <w:numId w:val="5"/>
              </w:numPr>
              <w:tabs>
                <w:tab w:pos="461" w:val="left" w:leader="none"/>
                <w:tab w:pos="462" w:val="left" w:leader="none"/>
              </w:tabs>
              <w:spacing w:line="240" w:lineRule="auto" w:before="0" w:after="0"/>
              <w:ind w:left="461" w:right="217" w:hanging="360"/>
              <w:jc w:val="left"/>
              <w:rPr>
                <w:sz w:val="24"/>
              </w:rPr>
            </w:pPr>
            <w:r>
              <w:rPr>
                <w:b/>
                <w:sz w:val="24"/>
              </w:rPr>
              <w:t>Discounts available </w:t>
            </w:r>
            <w:r>
              <w:rPr>
                <w:sz w:val="24"/>
              </w:rPr>
              <w:t>to Collective</w:t>
            </w:r>
            <w:r>
              <w:rPr>
                <w:spacing w:val="-9"/>
                <w:sz w:val="24"/>
              </w:rPr>
              <w:t> </w:t>
            </w:r>
            <w:r>
              <w:rPr>
                <w:sz w:val="24"/>
              </w:rPr>
              <w:t>Worship programme for schools with fewer than 180</w:t>
            </w:r>
            <w:r>
              <w:rPr>
                <w:spacing w:val="-2"/>
                <w:sz w:val="24"/>
              </w:rPr>
              <w:t> </w:t>
            </w:r>
            <w:r>
              <w:rPr>
                <w:sz w:val="24"/>
              </w:rPr>
              <w:t>pupils.</w:t>
            </w:r>
          </w:p>
        </w:tc>
        <w:tc>
          <w:tcPr>
            <w:tcW w:w="2994" w:type="dxa"/>
            <w:tcBorders>
              <w:top w:val="dashSmallGap" w:sz="18" w:space="0" w:color="EC7C30"/>
              <w:bottom w:val="nil"/>
              <w:right w:val="dashSmallGap" w:sz="18" w:space="0" w:color="EC7C30"/>
            </w:tcBorders>
          </w:tcPr>
          <w:p>
            <w:pPr>
              <w:pStyle w:val="TableParagraph"/>
              <w:ind w:left="0"/>
              <w:rPr>
                <w:sz w:val="24"/>
              </w:rPr>
            </w:pPr>
          </w:p>
          <w:p>
            <w:pPr>
              <w:pStyle w:val="TableParagraph"/>
              <w:numPr>
                <w:ilvl w:val="0"/>
                <w:numId w:val="6"/>
              </w:numPr>
              <w:tabs>
                <w:tab w:pos="461" w:val="left" w:leader="none"/>
                <w:tab w:pos="462" w:val="left" w:leader="none"/>
              </w:tabs>
              <w:spacing w:line="240" w:lineRule="auto" w:before="0" w:after="0"/>
              <w:ind w:left="461" w:right="130" w:hanging="360"/>
              <w:jc w:val="left"/>
              <w:rPr>
                <w:sz w:val="24"/>
              </w:rPr>
            </w:pPr>
            <w:r>
              <w:rPr>
                <w:b/>
                <w:sz w:val="24"/>
              </w:rPr>
              <w:t>Full access </w:t>
            </w:r>
            <w:r>
              <w:rPr>
                <w:sz w:val="24"/>
              </w:rPr>
              <w:t>to programme</w:t>
            </w:r>
            <w:r>
              <w:rPr>
                <w:spacing w:val="-9"/>
                <w:sz w:val="24"/>
              </w:rPr>
              <w:t> </w:t>
            </w:r>
            <w:r>
              <w:rPr>
                <w:sz w:val="24"/>
              </w:rPr>
              <w:t>resources</w:t>
            </w:r>
          </w:p>
          <w:p>
            <w:pPr>
              <w:pStyle w:val="TableParagraph"/>
              <w:spacing w:line="274" w:lineRule="exact" w:before="5"/>
              <w:ind w:left="461" w:right="312"/>
              <w:rPr>
                <w:sz w:val="24"/>
              </w:rPr>
            </w:pPr>
            <w:r>
              <w:rPr>
                <w:sz w:val="24"/>
              </w:rPr>
              <w:t>between September 2019 and July 2020</w:t>
            </w:r>
          </w:p>
        </w:tc>
      </w:tr>
      <w:tr>
        <w:trPr>
          <w:trHeight w:val="774" w:hRule="atLeast"/>
        </w:trPr>
        <w:tc>
          <w:tcPr>
            <w:tcW w:w="2993" w:type="dxa"/>
            <w:tcBorders>
              <w:top w:val="nil"/>
              <w:bottom w:val="nil"/>
            </w:tcBorders>
          </w:tcPr>
          <w:p>
            <w:pPr>
              <w:pStyle w:val="TableParagraph"/>
              <w:numPr>
                <w:ilvl w:val="0"/>
                <w:numId w:val="7"/>
              </w:numPr>
              <w:tabs>
                <w:tab w:pos="359" w:val="left" w:leader="none"/>
                <w:tab w:pos="360" w:val="left" w:leader="none"/>
              </w:tabs>
              <w:spacing w:line="246" w:lineRule="exact" w:before="0" w:after="0"/>
              <w:ind w:left="461" w:right="642" w:hanging="462"/>
              <w:jc w:val="right"/>
              <w:rPr>
                <w:sz w:val="24"/>
              </w:rPr>
            </w:pPr>
            <w:r>
              <w:rPr>
                <w:b/>
                <w:sz w:val="24"/>
              </w:rPr>
              <w:t>3 teachers</w:t>
            </w:r>
            <w:r>
              <w:rPr>
                <w:b/>
                <w:spacing w:val="-8"/>
                <w:sz w:val="24"/>
              </w:rPr>
              <w:t> </w:t>
            </w:r>
            <w:r>
              <w:rPr>
                <w:sz w:val="24"/>
              </w:rPr>
              <w:t>given</w:t>
            </w:r>
          </w:p>
          <w:p>
            <w:pPr>
              <w:pStyle w:val="TableParagraph"/>
              <w:spacing w:line="276" w:lineRule="exact"/>
              <w:ind w:left="0" w:right="735"/>
              <w:jc w:val="right"/>
              <w:rPr>
                <w:sz w:val="24"/>
              </w:rPr>
            </w:pPr>
            <w:r>
              <w:rPr>
                <w:sz w:val="24"/>
              </w:rPr>
              <w:t>personal access</w:t>
            </w:r>
          </w:p>
        </w:tc>
        <w:tc>
          <w:tcPr>
            <w:tcW w:w="2994" w:type="dxa"/>
            <w:vMerge/>
            <w:tcBorders>
              <w:top w:val="nil"/>
              <w:bottom w:val="dashSmallGap" w:sz="18" w:space="0" w:color="EC7C30"/>
            </w:tcBorders>
          </w:tcPr>
          <w:p>
            <w:pPr>
              <w:rPr>
                <w:sz w:val="2"/>
                <w:szCs w:val="2"/>
              </w:rPr>
            </w:pPr>
          </w:p>
        </w:tc>
        <w:tc>
          <w:tcPr>
            <w:tcW w:w="2994" w:type="dxa"/>
            <w:tcBorders>
              <w:top w:val="nil"/>
              <w:bottom w:val="nil"/>
              <w:right w:val="dashSmallGap" w:sz="18" w:space="0" w:color="EC7C30"/>
            </w:tcBorders>
          </w:tcPr>
          <w:p>
            <w:pPr>
              <w:pStyle w:val="TableParagraph"/>
              <w:spacing w:before="5"/>
              <w:ind w:left="0"/>
              <w:rPr>
                <w:sz w:val="21"/>
              </w:rPr>
            </w:pPr>
          </w:p>
          <w:p>
            <w:pPr>
              <w:pStyle w:val="TableParagraph"/>
              <w:numPr>
                <w:ilvl w:val="0"/>
                <w:numId w:val="8"/>
              </w:numPr>
              <w:tabs>
                <w:tab w:pos="461" w:val="left" w:leader="none"/>
                <w:tab w:pos="462" w:val="left" w:leader="none"/>
              </w:tabs>
              <w:spacing w:line="278" w:lineRule="exact" w:before="0" w:after="0"/>
              <w:ind w:left="461" w:right="103" w:hanging="360"/>
              <w:jc w:val="left"/>
              <w:rPr>
                <w:sz w:val="24"/>
              </w:rPr>
            </w:pPr>
            <w:r>
              <w:rPr>
                <w:b/>
                <w:sz w:val="24"/>
              </w:rPr>
              <w:t>All teachers </w:t>
            </w:r>
            <w:r>
              <w:rPr>
                <w:sz w:val="24"/>
              </w:rPr>
              <w:t>in school given personal</w:t>
            </w:r>
            <w:r>
              <w:rPr>
                <w:spacing w:val="-9"/>
                <w:sz w:val="24"/>
              </w:rPr>
              <w:t> </w:t>
            </w:r>
            <w:r>
              <w:rPr>
                <w:sz w:val="24"/>
              </w:rPr>
              <w:t>access</w:t>
            </w:r>
          </w:p>
        </w:tc>
      </w:tr>
      <w:tr>
        <w:trPr>
          <w:trHeight w:val="2757" w:hRule="atLeast"/>
        </w:trPr>
        <w:tc>
          <w:tcPr>
            <w:tcW w:w="2993" w:type="dxa"/>
            <w:tcBorders>
              <w:top w:val="nil"/>
              <w:bottom w:val="dashSmallGap" w:sz="18" w:space="0" w:color="EC7C30"/>
            </w:tcBorders>
          </w:tcPr>
          <w:p>
            <w:pPr>
              <w:pStyle w:val="TableParagraph"/>
              <w:numPr>
                <w:ilvl w:val="0"/>
                <w:numId w:val="9"/>
              </w:numPr>
              <w:tabs>
                <w:tab w:pos="461" w:val="left" w:leader="none"/>
                <w:tab w:pos="462" w:val="left" w:leader="none"/>
              </w:tabs>
              <w:spacing w:line="242" w:lineRule="exact" w:before="0" w:after="0"/>
              <w:ind w:left="461" w:right="0" w:hanging="361"/>
              <w:jc w:val="left"/>
              <w:rPr>
                <w:sz w:val="24"/>
              </w:rPr>
            </w:pPr>
            <w:r>
              <w:rPr>
                <w:b/>
                <w:sz w:val="24"/>
              </w:rPr>
              <w:t>Only 1 trial </w:t>
            </w:r>
            <w:r>
              <w:rPr>
                <w:sz w:val="24"/>
              </w:rPr>
              <w:t>per</w:t>
            </w:r>
            <w:r>
              <w:rPr>
                <w:spacing w:val="-10"/>
                <w:sz w:val="24"/>
              </w:rPr>
              <w:t> </w:t>
            </w:r>
            <w:r>
              <w:rPr>
                <w:sz w:val="24"/>
              </w:rPr>
              <w:t>school</w:t>
            </w:r>
          </w:p>
          <w:p>
            <w:pPr>
              <w:pStyle w:val="TableParagraph"/>
              <w:spacing w:line="275" w:lineRule="exact"/>
              <w:ind w:left="461"/>
              <w:rPr>
                <w:sz w:val="24"/>
              </w:rPr>
            </w:pPr>
            <w:r>
              <w:rPr>
                <w:sz w:val="24"/>
              </w:rPr>
              <w:t>allowed</w:t>
            </w:r>
          </w:p>
          <w:p>
            <w:pPr>
              <w:pStyle w:val="TableParagraph"/>
              <w:spacing w:before="10"/>
              <w:ind w:left="0"/>
              <w:rPr>
                <w:sz w:val="23"/>
              </w:rPr>
            </w:pPr>
          </w:p>
          <w:p>
            <w:pPr>
              <w:pStyle w:val="TableParagraph"/>
              <w:numPr>
                <w:ilvl w:val="0"/>
                <w:numId w:val="9"/>
              </w:numPr>
              <w:tabs>
                <w:tab w:pos="461" w:val="left" w:leader="none"/>
                <w:tab w:pos="462" w:val="left" w:leader="none"/>
              </w:tabs>
              <w:spacing w:line="294" w:lineRule="exact" w:before="1" w:after="0"/>
              <w:ind w:left="461" w:right="0" w:hanging="361"/>
              <w:jc w:val="left"/>
              <w:rPr>
                <w:sz w:val="24"/>
              </w:rPr>
            </w:pPr>
            <w:r>
              <w:rPr>
                <w:sz w:val="24"/>
              </w:rPr>
              <w:t>Available</w:t>
            </w:r>
            <w:r>
              <w:rPr>
                <w:spacing w:val="-1"/>
                <w:sz w:val="24"/>
              </w:rPr>
              <w:t> </w:t>
            </w:r>
            <w:r>
              <w:rPr>
                <w:sz w:val="24"/>
              </w:rPr>
              <w:t>from</w:t>
            </w:r>
          </w:p>
          <w:p>
            <w:pPr>
              <w:pStyle w:val="TableParagraph"/>
              <w:spacing w:line="276" w:lineRule="exact"/>
              <w:ind w:left="461"/>
              <w:rPr>
                <w:b/>
                <w:sz w:val="24"/>
              </w:rPr>
            </w:pPr>
            <w:r>
              <w:rPr>
                <w:b/>
                <w:sz w:val="24"/>
              </w:rPr>
              <w:t>September 2019</w:t>
            </w:r>
          </w:p>
        </w:tc>
        <w:tc>
          <w:tcPr>
            <w:tcW w:w="2994" w:type="dxa"/>
            <w:vMerge/>
            <w:tcBorders>
              <w:top w:val="nil"/>
              <w:bottom w:val="dashSmallGap" w:sz="18" w:space="0" w:color="EC7C30"/>
            </w:tcBorders>
          </w:tcPr>
          <w:p>
            <w:pPr>
              <w:rPr>
                <w:sz w:val="2"/>
                <w:szCs w:val="2"/>
              </w:rPr>
            </w:pPr>
          </w:p>
        </w:tc>
        <w:tc>
          <w:tcPr>
            <w:tcW w:w="2994" w:type="dxa"/>
            <w:tcBorders>
              <w:top w:val="nil"/>
              <w:bottom w:val="dashSmallGap" w:sz="18" w:space="0" w:color="EC7C30"/>
              <w:right w:val="dashSmallGap" w:sz="18" w:space="0" w:color="EC7C30"/>
            </w:tcBorders>
          </w:tcPr>
          <w:p>
            <w:pPr>
              <w:pStyle w:val="TableParagraph"/>
              <w:numPr>
                <w:ilvl w:val="0"/>
                <w:numId w:val="10"/>
              </w:numPr>
              <w:tabs>
                <w:tab w:pos="461" w:val="left" w:leader="none"/>
                <w:tab w:pos="462" w:val="left" w:leader="none"/>
              </w:tabs>
              <w:spacing w:line="240" w:lineRule="auto" w:before="225" w:after="0"/>
              <w:ind w:left="461" w:right="305" w:hanging="360"/>
              <w:jc w:val="left"/>
              <w:rPr>
                <w:sz w:val="24"/>
              </w:rPr>
            </w:pPr>
            <w:r>
              <w:rPr>
                <w:b/>
                <w:sz w:val="24"/>
              </w:rPr>
              <w:t>All parents </w:t>
            </w:r>
            <w:r>
              <w:rPr>
                <w:sz w:val="24"/>
              </w:rPr>
              <w:t>given access to the</w:t>
            </w:r>
            <w:r>
              <w:rPr>
                <w:spacing w:val="-11"/>
                <w:sz w:val="24"/>
              </w:rPr>
              <w:t> </w:t>
            </w:r>
            <w:r>
              <w:rPr>
                <w:sz w:val="24"/>
              </w:rPr>
              <w:t>Online Parent</w:t>
            </w:r>
            <w:r>
              <w:rPr>
                <w:spacing w:val="-1"/>
                <w:sz w:val="24"/>
              </w:rPr>
              <w:t> </w:t>
            </w:r>
            <w:r>
              <w:rPr>
                <w:sz w:val="24"/>
              </w:rPr>
              <w:t>Portal</w:t>
            </w:r>
          </w:p>
        </w:tc>
      </w:tr>
    </w:tbl>
    <w:p>
      <w:pPr>
        <w:pStyle w:val="Heading8"/>
        <w:spacing w:before="277"/>
        <w:ind w:left="420"/>
      </w:pPr>
      <w:r>
        <w:rPr>
          <w:b w:val="0"/>
        </w:rPr>
        <w:t>Next page: </w:t>
      </w:r>
      <w:r>
        <w:rPr/>
        <w:t>The true cost of implementing a new curriculum</w:t>
      </w:r>
    </w:p>
    <w:p>
      <w:pPr>
        <w:spacing w:after="0"/>
        <w:sectPr>
          <w:headerReference w:type="default" r:id="rId14"/>
          <w:footerReference w:type="default" r:id="rId15"/>
          <w:pgSz w:w="11910" w:h="16840"/>
          <w:pgMar w:header="715" w:footer="1445" w:top="920" w:bottom="1640" w:left="1020" w:right="760"/>
          <w:pgNumType w:start="21"/>
        </w:sectPr>
      </w:pPr>
    </w:p>
    <w:p>
      <w:pPr>
        <w:pStyle w:val="BodyText"/>
        <w:rPr>
          <w:b/>
          <w:sz w:val="20"/>
        </w:rPr>
      </w:pPr>
    </w:p>
    <w:p>
      <w:pPr>
        <w:pStyle w:val="BodyText"/>
        <w:spacing w:before="9"/>
        <w:rPr>
          <w:b/>
          <w:sz w:val="17"/>
        </w:rPr>
      </w:pPr>
    </w:p>
    <w:p>
      <w:pPr>
        <w:spacing w:before="33"/>
        <w:ind w:left="420" w:right="0" w:firstLine="0"/>
        <w:jc w:val="left"/>
        <w:rPr>
          <w:sz w:val="56"/>
        </w:rPr>
      </w:pPr>
      <w:r>
        <w:rPr>
          <w:color w:val="FF8024"/>
          <w:w w:val="75"/>
          <w:sz w:val="56"/>
        </w:rPr>
        <w:t>The</w:t>
      </w:r>
      <w:r>
        <w:rPr>
          <w:color w:val="FF8024"/>
          <w:spacing w:val="-56"/>
          <w:w w:val="75"/>
          <w:sz w:val="56"/>
        </w:rPr>
        <w:t> </w:t>
      </w:r>
      <w:r>
        <w:rPr>
          <w:color w:val="FF8024"/>
          <w:w w:val="75"/>
          <w:sz w:val="56"/>
        </w:rPr>
        <w:t>true</w:t>
      </w:r>
      <w:r>
        <w:rPr>
          <w:color w:val="FF8024"/>
          <w:spacing w:val="-56"/>
          <w:w w:val="75"/>
          <w:sz w:val="56"/>
        </w:rPr>
        <w:t> </w:t>
      </w:r>
      <w:r>
        <w:rPr>
          <w:color w:val="FF8024"/>
          <w:w w:val="75"/>
          <w:sz w:val="56"/>
        </w:rPr>
        <w:t>cost</w:t>
      </w:r>
      <w:r>
        <w:rPr>
          <w:color w:val="FF8024"/>
          <w:spacing w:val="-56"/>
          <w:w w:val="75"/>
          <w:sz w:val="56"/>
        </w:rPr>
        <w:t> </w:t>
      </w:r>
      <w:r>
        <w:rPr>
          <w:color w:val="FF8024"/>
          <w:w w:val="75"/>
          <w:sz w:val="56"/>
        </w:rPr>
        <w:t>of</w:t>
      </w:r>
      <w:r>
        <w:rPr>
          <w:color w:val="FF8024"/>
          <w:spacing w:val="-55"/>
          <w:w w:val="75"/>
          <w:sz w:val="56"/>
        </w:rPr>
        <w:t> </w:t>
      </w:r>
      <w:r>
        <w:rPr>
          <w:color w:val="FF8024"/>
          <w:w w:val="75"/>
          <w:sz w:val="56"/>
        </w:rPr>
        <w:t>implementing</w:t>
      </w:r>
      <w:r>
        <w:rPr>
          <w:color w:val="FF8024"/>
          <w:spacing w:val="-55"/>
          <w:w w:val="75"/>
          <w:sz w:val="56"/>
        </w:rPr>
        <w:t> </w:t>
      </w:r>
      <w:r>
        <w:rPr>
          <w:color w:val="FF8024"/>
          <w:w w:val="75"/>
          <w:sz w:val="56"/>
        </w:rPr>
        <w:t>a</w:t>
      </w:r>
      <w:r>
        <w:rPr>
          <w:color w:val="FF8024"/>
          <w:spacing w:val="-56"/>
          <w:w w:val="75"/>
          <w:sz w:val="56"/>
        </w:rPr>
        <w:t> </w:t>
      </w:r>
      <w:r>
        <w:rPr>
          <w:color w:val="FF8024"/>
          <w:w w:val="75"/>
          <w:sz w:val="56"/>
        </w:rPr>
        <w:t>new</w:t>
      </w:r>
      <w:r>
        <w:rPr>
          <w:color w:val="FF8024"/>
          <w:spacing w:val="-55"/>
          <w:w w:val="75"/>
          <w:sz w:val="56"/>
        </w:rPr>
        <w:t> </w:t>
      </w:r>
      <w:r>
        <w:rPr>
          <w:color w:val="FF8024"/>
          <w:w w:val="75"/>
          <w:sz w:val="56"/>
        </w:rPr>
        <w:t>curriculum</w:t>
      </w:r>
    </w:p>
    <w:p>
      <w:pPr>
        <w:pStyle w:val="BodyText"/>
        <w:spacing w:before="379"/>
        <w:ind w:left="420" w:right="687"/>
      </w:pPr>
      <w:r>
        <w:rPr>
          <w:b/>
        </w:rPr>
        <w:t>Relationships Education </w:t>
      </w:r>
      <w:r>
        <w:rPr/>
        <w:t>is a new statutory curriculum subject that will sit alongside other core curriculum subjects in the school timetable. It will be inspected by Ofsted and will become a significant focus over the coming years as new programmes and resources are created to fulfil the curriculum.</w:t>
      </w:r>
    </w:p>
    <w:p>
      <w:pPr>
        <w:pStyle w:val="BodyText"/>
      </w:pPr>
    </w:p>
    <w:p>
      <w:pPr>
        <w:pStyle w:val="BodyText"/>
        <w:ind w:left="419" w:right="900"/>
      </w:pPr>
      <w:r>
        <w:rPr/>
        <w:t>When considering options to implement the new curriculum, schools must consider what it is truly going to cost. It is a fact that every school will be faced with costs, though many will be hidden.</w:t>
      </w:r>
    </w:p>
    <w:p>
      <w:pPr>
        <w:pStyle w:val="BodyText"/>
        <w:spacing w:before="10"/>
        <w:rPr>
          <w:sz w:val="23"/>
        </w:rPr>
      </w:pPr>
    </w:p>
    <w:tbl>
      <w:tblPr>
        <w:tblW w:w="0" w:type="auto"/>
        <w:jc w:val="left"/>
        <w:tblInd w:w="479" w:type="dxa"/>
        <w:tblBorders>
          <w:top w:val="dashSmallGap" w:sz="24" w:space="0" w:color="EC7C30"/>
          <w:left w:val="dashSmallGap" w:sz="24" w:space="0" w:color="EC7C30"/>
          <w:bottom w:val="dashSmallGap" w:sz="24" w:space="0" w:color="EC7C30"/>
          <w:right w:val="dashSmallGap" w:sz="24" w:space="0" w:color="EC7C30"/>
          <w:insideH w:val="dashSmallGap" w:sz="24" w:space="0" w:color="EC7C30"/>
          <w:insideV w:val="dashSmallGap" w:sz="24" w:space="0" w:color="EC7C30"/>
        </w:tblBorders>
        <w:tblLayout w:type="fixed"/>
        <w:tblCellMar>
          <w:top w:w="0" w:type="dxa"/>
          <w:left w:w="0" w:type="dxa"/>
          <w:bottom w:w="0" w:type="dxa"/>
          <w:right w:w="0" w:type="dxa"/>
        </w:tblCellMar>
        <w:tblLook w:val="01E0"/>
      </w:tblPr>
      <w:tblGrid>
        <w:gridCol w:w="2993"/>
        <w:gridCol w:w="2994"/>
        <w:gridCol w:w="2994"/>
      </w:tblGrid>
      <w:tr>
        <w:trPr>
          <w:trHeight w:val="1702" w:hRule="atLeast"/>
        </w:trPr>
        <w:tc>
          <w:tcPr>
            <w:tcW w:w="2993" w:type="dxa"/>
            <w:tcBorders>
              <w:top w:val="single" w:sz="18" w:space="0" w:color="EC7C30"/>
              <w:bottom w:val="single" w:sz="18" w:space="0" w:color="EC7C30"/>
            </w:tcBorders>
            <w:shd w:val="clear" w:color="auto" w:fill="FAE3D4"/>
          </w:tcPr>
          <w:p>
            <w:pPr>
              <w:pStyle w:val="TableParagraph"/>
              <w:spacing w:before="1"/>
              <w:ind w:left="0"/>
              <w:rPr>
                <w:sz w:val="24"/>
              </w:rPr>
            </w:pPr>
          </w:p>
          <w:p>
            <w:pPr>
              <w:pStyle w:val="TableParagraph"/>
              <w:ind w:left="372" w:right="327"/>
              <w:jc w:val="center"/>
              <w:rPr>
                <w:b/>
                <w:sz w:val="28"/>
              </w:rPr>
            </w:pPr>
            <w:r>
              <w:rPr>
                <w:b/>
                <w:sz w:val="28"/>
              </w:rPr>
              <w:t>OPTION 1</w:t>
            </w:r>
          </w:p>
          <w:p>
            <w:pPr>
              <w:pStyle w:val="TableParagraph"/>
              <w:ind w:left="0"/>
              <w:rPr>
                <w:sz w:val="24"/>
              </w:rPr>
            </w:pPr>
          </w:p>
          <w:p>
            <w:pPr>
              <w:pStyle w:val="TableParagraph"/>
              <w:ind w:left="375" w:right="327"/>
              <w:jc w:val="center"/>
              <w:rPr>
                <w:sz w:val="24"/>
              </w:rPr>
            </w:pPr>
            <w:r>
              <w:rPr>
                <w:sz w:val="24"/>
              </w:rPr>
              <w:t>Develop your current PSHE programme</w:t>
            </w:r>
          </w:p>
        </w:tc>
        <w:tc>
          <w:tcPr>
            <w:tcW w:w="2994" w:type="dxa"/>
            <w:tcBorders>
              <w:top w:val="single" w:sz="18" w:space="0" w:color="EC7C30"/>
              <w:bottom w:val="single" w:sz="18" w:space="0" w:color="EC7C30"/>
            </w:tcBorders>
            <w:shd w:val="clear" w:color="auto" w:fill="DEEAF6"/>
          </w:tcPr>
          <w:p>
            <w:pPr>
              <w:pStyle w:val="TableParagraph"/>
              <w:spacing w:before="1"/>
              <w:ind w:left="0"/>
              <w:rPr>
                <w:sz w:val="24"/>
              </w:rPr>
            </w:pPr>
          </w:p>
          <w:p>
            <w:pPr>
              <w:pStyle w:val="TableParagraph"/>
              <w:ind w:left="294" w:right="251"/>
              <w:jc w:val="center"/>
              <w:rPr>
                <w:b/>
                <w:sz w:val="28"/>
              </w:rPr>
            </w:pPr>
            <w:r>
              <w:rPr>
                <w:b/>
                <w:sz w:val="28"/>
              </w:rPr>
              <w:t>OPTION 2</w:t>
            </w:r>
          </w:p>
          <w:p>
            <w:pPr>
              <w:pStyle w:val="TableParagraph"/>
              <w:ind w:left="0"/>
              <w:rPr>
                <w:sz w:val="24"/>
              </w:rPr>
            </w:pPr>
          </w:p>
          <w:p>
            <w:pPr>
              <w:pStyle w:val="TableParagraph"/>
              <w:ind w:left="296" w:right="251"/>
              <w:jc w:val="center"/>
              <w:rPr>
                <w:sz w:val="24"/>
              </w:rPr>
            </w:pPr>
            <w:r>
              <w:rPr>
                <w:sz w:val="24"/>
              </w:rPr>
              <w:t>Make use of free resources available</w:t>
            </w:r>
          </w:p>
        </w:tc>
        <w:tc>
          <w:tcPr>
            <w:tcW w:w="2994" w:type="dxa"/>
            <w:tcBorders>
              <w:top w:val="single" w:sz="18" w:space="0" w:color="EC7C30"/>
              <w:bottom w:val="single" w:sz="18" w:space="0" w:color="EC7C30"/>
              <w:right w:val="dashSmallGap" w:sz="18" w:space="0" w:color="EC7C30"/>
            </w:tcBorders>
            <w:shd w:val="clear" w:color="auto" w:fill="FAE3D4"/>
          </w:tcPr>
          <w:p>
            <w:pPr>
              <w:pStyle w:val="TableParagraph"/>
              <w:spacing w:before="1"/>
              <w:ind w:left="0"/>
              <w:rPr>
                <w:sz w:val="24"/>
              </w:rPr>
            </w:pPr>
          </w:p>
          <w:p>
            <w:pPr>
              <w:pStyle w:val="TableParagraph"/>
              <w:ind w:left="548" w:right="150"/>
              <w:jc w:val="center"/>
              <w:rPr>
                <w:b/>
                <w:sz w:val="28"/>
              </w:rPr>
            </w:pPr>
            <w:r>
              <w:rPr>
                <w:b/>
                <w:sz w:val="28"/>
              </w:rPr>
              <w:t>OPTION 3</w:t>
            </w:r>
          </w:p>
          <w:p>
            <w:pPr>
              <w:pStyle w:val="TableParagraph"/>
              <w:ind w:left="0"/>
              <w:rPr>
                <w:sz w:val="24"/>
              </w:rPr>
            </w:pPr>
          </w:p>
          <w:p>
            <w:pPr>
              <w:pStyle w:val="TableParagraph"/>
              <w:ind w:left="550" w:right="150"/>
              <w:jc w:val="center"/>
              <w:rPr>
                <w:sz w:val="24"/>
              </w:rPr>
            </w:pPr>
            <w:r>
              <w:rPr>
                <w:sz w:val="24"/>
              </w:rPr>
              <w:t>Work in collaboration with Ten Ten</w:t>
            </w:r>
          </w:p>
        </w:tc>
      </w:tr>
      <w:tr>
        <w:trPr>
          <w:trHeight w:val="2530" w:hRule="atLeast"/>
        </w:trPr>
        <w:tc>
          <w:tcPr>
            <w:tcW w:w="2993" w:type="dxa"/>
            <w:tcBorders>
              <w:top w:val="single" w:sz="18" w:space="0" w:color="EC7C30"/>
              <w:bottom w:val="dashSmallGap" w:sz="18" w:space="0" w:color="EC7C30"/>
            </w:tcBorders>
          </w:tcPr>
          <w:p>
            <w:pPr>
              <w:pStyle w:val="TableParagraph"/>
              <w:spacing w:before="1"/>
              <w:ind w:left="0"/>
              <w:rPr>
                <w:sz w:val="20"/>
              </w:rPr>
            </w:pPr>
          </w:p>
          <w:p>
            <w:pPr>
              <w:pStyle w:val="TableParagraph"/>
              <w:ind w:left="101" w:right="99"/>
              <w:rPr>
                <w:sz w:val="20"/>
              </w:rPr>
            </w:pPr>
            <w:r>
              <w:rPr>
                <w:sz w:val="20"/>
              </w:rPr>
              <w:t>Many Catholic schools already deliver lessons in puberty education for children, using a mixture of printed resources that have been produced over the years. A school may develop this into a Scheme of Work to fulfil the new statutory curriculum.</w:t>
            </w:r>
          </w:p>
        </w:tc>
        <w:tc>
          <w:tcPr>
            <w:tcW w:w="2994" w:type="dxa"/>
            <w:tcBorders>
              <w:top w:val="single" w:sz="18" w:space="0" w:color="EC7C30"/>
              <w:bottom w:val="dashSmallGap" w:sz="18" w:space="0" w:color="EC7C30"/>
            </w:tcBorders>
          </w:tcPr>
          <w:p>
            <w:pPr>
              <w:pStyle w:val="TableParagraph"/>
              <w:spacing w:before="1"/>
              <w:ind w:left="0"/>
              <w:rPr>
                <w:sz w:val="20"/>
              </w:rPr>
            </w:pPr>
          </w:p>
          <w:p>
            <w:pPr>
              <w:pStyle w:val="TableParagraph"/>
              <w:ind w:left="101" w:right="167"/>
              <w:rPr>
                <w:sz w:val="20"/>
              </w:rPr>
            </w:pPr>
            <w:r>
              <w:rPr>
                <w:sz w:val="20"/>
              </w:rPr>
              <w:t>Over the coming year, free resources will be made available to schools by charities and the DFE. A school could choose to pull these free resources into their own Scheme of Work.</w:t>
            </w:r>
          </w:p>
        </w:tc>
        <w:tc>
          <w:tcPr>
            <w:tcW w:w="2994" w:type="dxa"/>
            <w:vMerge w:val="restart"/>
            <w:tcBorders>
              <w:top w:val="single" w:sz="18" w:space="0" w:color="EC7C30"/>
              <w:bottom w:val="dashSmallGap" w:sz="18" w:space="0" w:color="EC7C30"/>
              <w:right w:val="dashSmallGap" w:sz="18" w:space="0" w:color="EC7C30"/>
            </w:tcBorders>
          </w:tcPr>
          <w:p>
            <w:pPr>
              <w:pStyle w:val="TableParagraph"/>
              <w:spacing w:before="1"/>
              <w:ind w:left="0"/>
              <w:rPr>
                <w:sz w:val="20"/>
              </w:rPr>
            </w:pPr>
          </w:p>
          <w:p>
            <w:pPr>
              <w:pStyle w:val="TableParagraph"/>
              <w:ind w:left="100" w:right="142"/>
              <w:rPr>
                <w:sz w:val="20"/>
              </w:rPr>
            </w:pPr>
            <w:r>
              <w:rPr>
                <w:b/>
                <w:sz w:val="20"/>
              </w:rPr>
              <w:t>Life to the Full </w:t>
            </w:r>
            <w:r>
              <w:rPr>
                <w:sz w:val="20"/>
              </w:rPr>
              <w:t>offers a cost- effective solution to a complex problem. Consider this:</w:t>
            </w:r>
          </w:p>
          <w:p>
            <w:pPr>
              <w:pStyle w:val="TableParagraph"/>
              <w:ind w:left="0"/>
              <w:rPr>
                <w:sz w:val="20"/>
              </w:rPr>
            </w:pPr>
          </w:p>
          <w:p>
            <w:pPr>
              <w:pStyle w:val="TableParagraph"/>
              <w:numPr>
                <w:ilvl w:val="0"/>
                <w:numId w:val="11"/>
              </w:numPr>
              <w:tabs>
                <w:tab w:pos="460" w:val="left" w:leader="none"/>
                <w:tab w:pos="461" w:val="left" w:leader="none"/>
              </w:tabs>
              <w:spacing w:line="240" w:lineRule="auto" w:before="1" w:after="0"/>
              <w:ind w:left="460" w:right="120" w:hanging="360"/>
              <w:jc w:val="left"/>
              <w:rPr>
                <w:sz w:val="20"/>
              </w:rPr>
            </w:pPr>
            <w:r>
              <w:rPr>
                <w:sz w:val="20"/>
              </w:rPr>
              <w:t>By working with us, you are working with real people. Although we are not physically in your school or office, we are at the end of the phone or email ready to support you on these</w:t>
            </w:r>
            <w:r>
              <w:rPr>
                <w:spacing w:val="-3"/>
                <w:sz w:val="20"/>
              </w:rPr>
              <w:t> </w:t>
            </w:r>
            <w:r>
              <w:rPr>
                <w:sz w:val="20"/>
              </w:rPr>
              <w:t>matters.</w:t>
            </w:r>
          </w:p>
          <w:p>
            <w:pPr>
              <w:pStyle w:val="TableParagraph"/>
              <w:numPr>
                <w:ilvl w:val="0"/>
                <w:numId w:val="11"/>
              </w:numPr>
              <w:tabs>
                <w:tab w:pos="460" w:val="left" w:leader="none"/>
                <w:tab w:pos="461" w:val="left" w:leader="none"/>
              </w:tabs>
              <w:spacing w:line="240" w:lineRule="auto" w:before="0" w:after="0"/>
              <w:ind w:left="460" w:right="231" w:hanging="360"/>
              <w:jc w:val="left"/>
              <w:rPr>
                <w:sz w:val="20"/>
              </w:rPr>
            </w:pPr>
            <w:r>
              <w:rPr>
                <w:sz w:val="20"/>
              </w:rPr>
              <w:t>We are known for producing high-quality resources which stand shoulder-to-shoulder with mainstream national organisations.</w:t>
            </w:r>
          </w:p>
          <w:p>
            <w:pPr>
              <w:pStyle w:val="TableParagraph"/>
              <w:numPr>
                <w:ilvl w:val="0"/>
                <w:numId w:val="11"/>
              </w:numPr>
              <w:tabs>
                <w:tab w:pos="460" w:val="left" w:leader="none"/>
                <w:tab w:pos="461" w:val="left" w:leader="none"/>
              </w:tabs>
              <w:spacing w:line="240" w:lineRule="auto" w:before="0" w:after="0"/>
              <w:ind w:left="460" w:right="221" w:hanging="360"/>
              <w:jc w:val="left"/>
              <w:rPr>
                <w:sz w:val="20"/>
              </w:rPr>
            </w:pPr>
            <w:r>
              <w:rPr>
                <w:sz w:val="20"/>
              </w:rPr>
              <w:t>By working with many, many schools we are spreading the true cost to make the implementation of the new curriculum affordable and cost- effective.</w:t>
            </w:r>
          </w:p>
          <w:p>
            <w:pPr>
              <w:pStyle w:val="TableParagraph"/>
              <w:numPr>
                <w:ilvl w:val="0"/>
                <w:numId w:val="11"/>
              </w:numPr>
              <w:tabs>
                <w:tab w:pos="460" w:val="left" w:leader="none"/>
                <w:tab w:pos="461" w:val="left" w:leader="none"/>
              </w:tabs>
              <w:spacing w:line="240" w:lineRule="auto" w:before="0" w:after="0"/>
              <w:ind w:left="460" w:right="454" w:hanging="360"/>
              <w:jc w:val="left"/>
              <w:rPr>
                <w:sz w:val="20"/>
              </w:rPr>
            </w:pPr>
            <w:r>
              <w:rPr>
                <w:sz w:val="20"/>
              </w:rPr>
              <w:t>An annual subscription costs less than £1 per head in many</w:t>
            </w:r>
            <w:r>
              <w:rPr>
                <w:spacing w:val="-4"/>
                <w:sz w:val="20"/>
              </w:rPr>
              <w:t> </w:t>
            </w:r>
            <w:r>
              <w:rPr>
                <w:sz w:val="20"/>
              </w:rPr>
              <w:t>cases.</w:t>
            </w:r>
          </w:p>
          <w:p>
            <w:pPr>
              <w:pStyle w:val="TableParagraph"/>
              <w:numPr>
                <w:ilvl w:val="0"/>
                <w:numId w:val="11"/>
              </w:numPr>
              <w:tabs>
                <w:tab w:pos="460" w:val="left" w:leader="none"/>
                <w:tab w:pos="461" w:val="left" w:leader="none"/>
              </w:tabs>
              <w:spacing w:line="240" w:lineRule="auto" w:before="0" w:after="0"/>
              <w:ind w:left="460" w:right="87" w:hanging="360"/>
              <w:jc w:val="left"/>
              <w:rPr>
                <w:sz w:val="20"/>
              </w:rPr>
            </w:pPr>
            <w:r>
              <w:rPr>
                <w:sz w:val="20"/>
              </w:rPr>
              <w:t>We work in collaboration with many Catholic dioceses and have over </w:t>
            </w:r>
            <w:r>
              <w:rPr>
                <w:spacing w:val="-6"/>
                <w:sz w:val="20"/>
              </w:rPr>
              <w:t>12 </w:t>
            </w:r>
            <w:r>
              <w:rPr>
                <w:sz w:val="20"/>
              </w:rPr>
              <w:t>years’ experience delivering Catholic</w:t>
            </w:r>
            <w:r>
              <w:rPr>
                <w:spacing w:val="-5"/>
                <w:sz w:val="20"/>
              </w:rPr>
              <w:t> </w:t>
            </w:r>
            <w:r>
              <w:rPr>
                <w:sz w:val="20"/>
              </w:rPr>
              <w:t>RSE.</w:t>
            </w:r>
          </w:p>
        </w:tc>
      </w:tr>
      <w:tr>
        <w:trPr>
          <w:trHeight w:val="5542" w:hRule="atLeast"/>
        </w:trPr>
        <w:tc>
          <w:tcPr>
            <w:tcW w:w="5987" w:type="dxa"/>
            <w:gridSpan w:val="2"/>
            <w:tcBorders>
              <w:top w:val="dashSmallGap" w:sz="18" w:space="0" w:color="EC7C30"/>
              <w:bottom w:val="dashSmallGap" w:sz="18" w:space="0" w:color="EC7C30"/>
            </w:tcBorders>
          </w:tcPr>
          <w:p>
            <w:pPr>
              <w:pStyle w:val="TableParagraph"/>
              <w:ind w:left="0"/>
              <w:rPr>
                <w:sz w:val="24"/>
              </w:rPr>
            </w:pPr>
          </w:p>
          <w:p>
            <w:pPr>
              <w:pStyle w:val="TableParagraph"/>
              <w:spacing w:before="1"/>
              <w:ind w:left="101"/>
              <w:rPr>
                <w:b/>
                <w:sz w:val="24"/>
              </w:rPr>
            </w:pPr>
            <w:r>
              <w:rPr>
                <w:b/>
                <w:sz w:val="24"/>
              </w:rPr>
              <w:t>With both options, consider these questions:</w:t>
            </w:r>
          </w:p>
          <w:p>
            <w:pPr>
              <w:pStyle w:val="TableParagraph"/>
              <w:numPr>
                <w:ilvl w:val="0"/>
                <w:numId w:val="12"/>
              </w:numPr>
              <w:tabs>
                <w:tab w:pos="821" w:val="left" w:leader="none"/>
                <w:tab w:pos="822" w:val="left" w:leader="none"/>
              </w:tabs>
              <w:spacing w:line="240" w:lineRule="auto" w:before="230" w:after="0"/>
              <w:ind w:left="821" w:right="212" w:hanging="360"/>
              <w:jc w:val="left"/>
              <w:rPr>
                <w:sz w:val="20"/>
              </w:rPr>
            </w:pPr>
            <w:r>
              <w:rPr>
                <w:sz w:val="20"/>
              </w:rPr>
              <w:t>What is the true cost of a school creating their own scheme of work, writing lesson plans, sourcing resources, organising the materials for easy access, providing teacher training, giving parents access to the materials and delivering lessons? See the evidence on the next page for an indication of the true</w:t>
            </w:r>
            <w:r>
              <w:rPr>
                <w:spacing w:val="-12"/>
                <w:sz w:val="20"/>
              </w:rPr>
              <w:t> </w:t>
            </w:r>
            <w:r>
              <w:rPr>
                <w:sz w:val="20"/>
              </w:rPr>
              <w:t>costs.</w:t>
            </w:r>
          </w:p>
          <w:p>
            <w:pPr>
              <w:pStyle w:val="TableParagraph"/>
              <w:spacing w:before="9"/>
              <w:ind w:left="0"/>
              <w:rPr>
                <w:sz w:val="19"/>
              </w:rPr>
            </w:pPr>
          </w:p>
          <w:p>
            <w:pPr>
              <w:pStyle w:val="TableParagraph"/>
              <w:numPr>
                <w:ilvl w:val="0"/>
                <w:numId w:val="12"/>
              </w:numPr>
              <w:tabs>
                <w:tab w:pos="821" w:val="left" w:leader="none"/>
                <w:tab w:pos="822" w:val="left" w:leader="none"/>
              </w:tabs>
              <w:spacing w:line="240" w:lineRule="auto" w:before="0" w:after="0"/>
              <w:ind w:left="821" w:right="133" w:hanging="360"/>
              <w:jc w:val="left"/>
              <w:rPr>
                <w:sz w:val="20"/>
              </w:rPr>
            </w:pPr>
            <w:r>
              <w:rPr>
                <w:sz w:val="20"/>
              </w:rPr>
              <w:t>If something is free, someone else is paying for it. What is the underlying agenda of the producing organisation? Does it support the values of the Catholic school? Does it meet diocesan guidelines? If it is Catholic, are you confident that it meets the DFE</w:t>
            </w:r>
            <w:r>
              <w:rPr>
                <w:spacing w:val="-7"/>
                <w:sz w:val="20"/>
              </w:rPr>
              <w:t> </w:t>
            </w:r>
            <w:r>
              <w:rPr>
                <w:sz w:val="20"/>
              </w:rPr>
              <w:t>guidance?</w:t>
            </w:r>
          </w:p>
          <w:p>
            <w:pPr>
              <w:pStyle w:val="TableParagraph"/>
              <w:spacing w:before="2"/>
              <w:ind w:left="0"/>
              <w:rPr>
                <w:sz w:val="20"/>
              </w:rPr>
            </w:pPr>
          </w:p>
          <w:p>
            <w:pPr>
              <w:pStyle w:val="TableParagraph"/>
              <w:numPr>
                <w:ilvl w:val="0"/>
                <w:numId w:val="12"/>
              </w:numPr>
              <w:tabs>
                <w:tab w:pos="821" w:val="left" w:leader="none"/>
                <w:tab w:pos="822" w:val="left" w:leader="none"/>
              </w:tabs>
              <w:spacing w:line="237" w:lineRule="auto" w:before="0" w:after="0"/>
              <w:ind w:left="821" w:right="433" w:hanging="360"/>
              <w:jc w:val="left"/>
              <w:rPr>
                <w:sz w:val="20"/>
              </w:rPr>
            </w:pPr>
            <w:r>
              <w:rPr>
                <w:sz w:val="20"/>
              </w:rPr>
              <w:t>What happens if your lead teacher moves to another school? Does the knowledge leave with the</w:t>
            </w:r>
            <w:r>
              <w:rPr>
                <w:spacing w:val="-18"/>
                <w:sz w:val="20"/>
              </w:rPr>
              <w:t> </w:t>
            </w:r>
            <w:r>
              <w:rPr>
                <w:sz w:val="20"/>
              </w:rPr>
              <w:t>person?</w:t>
            </w:r>
          </w:p>
          <w:p>
            <w:pPr>
              <w:pStyle w:val="TableParagraph"/>
              <w:spacing w:before="1"/>
              <w:ind w:left="0"/>
              <w:rPr>
                <w:sz w:val="20"/>
              </w:rPr>
            </w:pPr>
          </w:p>
          <w:p>
            <w:pPr>
              <w:pStyle w:val="TableParagraph"/>
              <w:numPr>
                <w:ilvl w:val="0"/>
                <w:numId w:val="12"/>
              </w:numPr>
              <w:tabs>
                <w:tab w:pos="821" w:val="left" w:leader="none"/>
                <w:tab w:pos="822" w:val="left" w:leader="none"/>
              </w:tabs>
              <w:spacing w:line="240" w:lineRule="auto" w:before="1" w:after="0"/>
              <w:ind w:left="821" w:right="112" w:hanging="360"/>
              <w:jc w:val="left"/>
              <w:rPr>
                <w:sz w:val="20"/>
              </w:rPr>
            </w:pPr>
            <w:r>
              <w:rPr>
                <w:sz w:val="20"/>
              </w:rPr>
              <w:t>The RSE Curriculum will be reviewed every 3 years. Will you have to undergo this process again and again? What are the cost implications of</w:t>
            </w:r>
            <w:r>
              <w:rPr>
                <w:spacing w:val="-8"/>
                <w:sz w:val="20"/>
              </w:rPr>
              <w:t> </w:t>
            </w:r>
            <w:r>
              <w:rPr>
                <w:sz w:val="20"/>
              </w:rPr>
              <w:t>that?</w:t>
            </w:r>
          </w:p>
        </w:tc>
        <w:tc>
          <w:tcPr>
            <w:tcW w:w="2994" w:type="dxa"/>
            <w:vMerge/>
            <w:tcBorders>
              <w:top w:val="nil"/>
              <w:bottom w:val="dashSmallGap" w:sz="18" w:space="0" w:color="EC7C30"/>
              <w:right w:val="dashSmallGap" w:sz="18" w:space="0" w:color="EC7C30"/>
            </w:tcBorders>
          </w:tcPr>
          <w:p>
            <w:pPr>
              <w:rPr>
                <w:sz w:val="2"/>
                <w:szCs w:val="2"/>
              </w:rPr>
            </w:pPr>
          </w:p>
        </w:tc>
      </w:tr>
    </w:tbl>
    <w:p>
      <w:pPr>
        <w:spacing w:after="0"/>
        <w:rPr>
          <w:sz w:val="2"/>
          <w:szCs w:val="2"/>
        </w:rPr>
        <w:sectPr>
          <w:pgSz w:w="11910" w:h="16840"/>
          <w:pgMar w:header="715" w:footer="1445" w:top="920" w:bottom="1640" w:left="102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33"/>
        <w:ind w:left="420" w:right="0" w:firstLine="0"/>
        <w:jc w:val="left"/>
        <w:rPr>
          <w:sz w:val="56"/>
        </w:rPr>
      </w:pPr>
      <w:r>
        <w:rPr>
          <w:color w:val="FF8024"/>
          <w:w w:val="80"/>
          <w:sz w:val="56"/>
        </w:rPr>
        <w:t>Curriculum Design – the costs</w:t>
      </w:r>
    </w:p>
    <w:p>
      <w:pPr>
        <w:pStyle w:val="BodyText"/>
        <w:spacing w:before="315"/>
        <w:ind w:left="420"/>
      </w:pPr>
      <w:r>
        <w:rPr/>
        <w:t>An online blog about curriculum design states the following:</w:t>
      </w:r>
    </w:p>
    <w:p>
      <w:pPr>
        <w:pStyle w:val="BodyText"/>
        <w:rPr>
          <w:sz w:val="26"/>
        </w:rPr>
      </w:pPr>
    </w:p>
    <w:p>
      <w:pPr>
        <w:pStyle w:val="BodyText"/>
        <w:spacing w:before="7"/>
        <w:rPr>
          <w:sz w:val="29"/>
        </w:rPr>
      </w:pPr>
    </w:p>
    <w:p>
      <w:pPr>
        <w:pStyle w:val="BodyText"/>
        <w:spacing w:line="259" w:lineRule="auto"/>
        <w:ind w:left="1140" w:right="671"/>
      </w:pPr>
      <w:r>
        <w:rPr/>
        <w:t>“Make no mistake, developing a quality curriculum and resourcing it costs money… If releasing staff is what you choose to do then this will naturally come with a significant price tag, either for supply or internal cover. In my experience, a minimum of 10 days non-contact time should be expected to undertake the initial audit and to complete subject and concept mapping exercises. If we look at an average of 10 days of supply per school, then this stage of curriculum development alone can cost upwards of £3,000. This does not, however, include the actual research and writing of curriculum content or creating resources.”</w:t>
      </w:r>
    </w:p>
    <w:p>
      <w:pPr>
        <w:pStyle w:val="Heading8"/>
        <w:spacing w:before="158"/>
        <w:ind w:left="1140"/>
      </w:pPr>
      <w:r>
        <w:rPr/>
        <w:t>Cornerstones Curriculum</w:t>
      </w:r>
    </w:p>
    <w:p>
      <w:pPr>
        <w:pStyle w:val="BodyText"/>
        <w:rPr>
          <w:b/>
          <w:sz w:val="26"/>
        </w:rPr>
      </w:pPr>
    </w:p>
    <w:p>
      <w:pPr>
        <w:pStyle w:val="BodyText"/>
        <w:spacing w:before="7"/>
        <w:rPr>
          <w:b/>
          <w:sz w:val="29"/>
        </w:rPr>
      </w:pPr>
    </w:p>
    <w:p>
      <w:pPr>
        <w:spacing w:before="0"/>
        <w:ind w:left="420" w:right="0" w:firstLine="0"/>
        <w:jc w:val="left"/>
        <w:rPr>
          <w:sz w:val="24"/>
        </w:rPr>
      </w:pPr>
      <w:r>
        <w:rPr>
          <w:sz w:val="24"/>
        </w:rPr>
        <w:t>By subscribing to </w:t>
      </w:r>
      <w:r>
        <w:rPr>
          <w:b/>
          <w:sz w:val="24"/>
        </w:rPr>
        <w:t>Life the Full</w:t>
      </w:r>
      <w:r>
        <w:rPr>
          <w:sz w:val="24"/>
        </w:rPr>
        <w:t>, you get:</w:t>
      </w:r>
    </w:p>
    <w:p>
      <w:pPr>
        <w:pStyle w:val="ListParagraph"/>
        <w:numPr>
          <w:ilvl w:val="0"/>
          <w:numId w:val="13"/>
        </w:numPr>
        <w:tabs>
          <w:tab w:pos="779" w:val="left" w:leader="none"/>
          <w:tab w:pos="780" w:val="left" w:leader="none"/>
        </w:tabs>
        <w:spacing w:line="240" w:lineRule="auto" w:before="182" w:after="0"/>
        <w:ind w:left="780" w:right="0" w:hanging="360"/>
        <w:jc w:val="left"/>
        <w:rPr>
          <w:sz w:val="24"/>
        </w:rPr>
      </w:pPr>
      <w:r>
        <w:rPr>
          <w:sz w:val="24"/>
        </w:rPr>
        <w:t>An adaptable Scheme of</w:t>
      </w:r>
      <w:r>
        <w:rPr>
          <w:spacing w:val="-1"/>
          <w:sz w:val="24"/>
        </w:rPr>
        <w:t> </w:t>
      </w:r>
      <w:r>
        <w:rPr>
          <w:sz w:val="24"/>
        </w:rPr>
        <w:t>Work;</w:t>
      </w:r>
    </w:p>
    <w:p>
      <w:pPr>
        <w:pStyle w:val="ListParagraph"/>
        <w:numPr>
          <w:ilvl w:val="0"/>
          <w:numId w:val="13"/>
        </w:numPr>
        <w:tabs>
          <w:tab w:pos="779" w:val="left" w:leader="none"/>
          <w:tab w:pos="780" w:val="left" w:leader="none"/>
        </w:tabs>
        <w:spacing w:line="256" w:lineRule="auto" w:before="20" w:after="0"/>
        <w:ind w:left="780" w:right="1249" w:hanging="360"/>
        <w:jc w:val="left"/>
        <w:rPr>
          <w:sz w:val="24"/>
        </w:rPr>
      </w:pPr>
      <w:r>
        <w:rPr>
          <w:sz w:val="24"/>
        </w:rPr>
        <w:t>High-quality media resources, lesson plans, PowerPoint presentations, worksheets, staff training, an online parent portal and Assessment</w:t>
      </w:r>
      <w:r>
        <w:rPr>
          <w:spacing w:val="-36"/>
          <w:sz w:val="24"/>
        </w:rPr>
        <w:t> </w:t>
      </w:r>
      <w:r>
        <w:rPr>
          <w:sz w:val="24"/>
        </w:rPr>
        <w:t>Activities;</w:t>
      </w:r>
    </w:p>
    <w:p>
      <w:pPr>
        <w:pStyle w:val="ListParagraph"/>
        <w:numPr>
          <w:ilvl w:val="0"/>
          <w:numId w:val="13"/>
        </w:numPr>
        <w:tabs>
          <w:tab w:pos="779" w:val="left" w:leader="none"/>
          <w:tab w:pos="780" w:val="left" w:leader="none"/>
        </w:tabs>
        <w:spacing w:line="254" w:lineRule="auto" w:before="2" w:after="0"/>
        <w:ind w:left="780" w:right="756" w:hanging="360"/>
        <w:jc w:val="left"/>
        <w:rPr>
          <w:sz w:val="24"/>
        </w:rPr>
      </w:pPr>
      <w:r>
        <w:rPr>
          <w:sz w:val="24"/>
        </w:rPr>
        <w:t>A programme of work that meets DFE statutory guidance within the framework of Catholic</w:t>
      </w:r>
      <w:r>
        <w:rPr>
          <w:spacing w:val="-1"/>
          <w:sz w:val="24"/>
        </w:rPr>
        <w:t> </w:t>
      </w:r>
      <w:r>
        <w:rPr>
          <w:sz w:val="24"/>
        </w:rPr>
        <w:t>RSE.</w:t>
      </w:r>
    </w:p>
    <w:p>
      <w:pPr>
        <w:spacing w:after="0" w:line="254" w:lineRule="auto"/>
        <w:jc w:val="left"/>
        <w:rPr>
          <w:sz w:val="24"/>
        </w:rPr>
        <w:sectPr>
          <w:pgSz w:w="11910" w:h="16840"/>
          <w:pgMar w:header="715" w:footer="1445" w:top="920" w:bottom="1640" w:left="102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line="1746" w:lineRule="exact" w:before="0"/>
        <w:ind w:left="1136" w:right="1395" w:firstLine="0"/>
        <w:jc w:val="center"/>
        <w:rPr>
          <w:sz w:val="160"/>
        </w:rPr>
      </w:pPr>
      <w:bookmarkStart w:name="_bookmark6" w:id="8"/>
      <w:bookmarkEnd w:id="8"/>
      <w:r>
        <w:rPr/>
      </w:r>
      <w:r>
        <w:rPr>
          <w:color w:val="FF8024"/>
          <w:w w:val="70"/>
          <w:sz w:val="160"/>
        </w:rPr>
        <w:t>Subscribe</w:t>
      </w:r>
    </w:p>
    <w:p>
      <w:pPr>
        <w:spacing w:before="567"/>
        <w:ind w:left="420" w:right="0" w:firstLine="0"/>
        <w:jc w:val="left"/>
        <w:rPr>
          <w:sz w:val="22"/>
        </w:rPr>
      </w:pPr>
      <w:r>
        <w:rPr>
          <w:sz w:val="22"/>
        </w:rPr>
        <w:t>To subscribe to </w:t>
      </w:r>
      <w:r>
        <w:rPr>
          <w:b/>
          <w:sz w:val="22"/>
        </w:rPr>
        <w:t>Life to the Full </w:t>
      </w:r>
      <w:r>
        <w:rPr>
          <w:sz w:val="22"/>
        </w:rPr>
        <w:t>in the academic year 2019-20, please contact us:</w:t>
      </w:r>
    </w:p>
    <w:p>
      <w:pPr>
        <w:spacing w:before="179"/>
        <w:ind w:left="1136" w:right="1395" w:firstLine="0"/>
        <w:jc w:val="center"/>
        <w:rPr>
          <w:sz w:val="22"/>
        </w:rPr>
      </w:pPr>
      <w:r>
        <w:rPr>
          <w:b/>
          <w:sz w:val="22"/>
        </w:rPr>
        <w:t>Email: </w:t>
      </w:r>
      <w:hyperlink r:id="rId19">
        <w:r>
          <w:rPr>
            <w:sz w:val="22"/>
          </w:rPr>
          <w:t>office@tententheatre.co.uk</w:t>
        </w:r>
      </w:hyperlink>
    </w:p>
    <w:p>
      <w:pPr>
        <w:spacing w:before="180"/>
        <w:ind w:left="1136" w:right="1394" w:firstLine="0"/>
        <w:jc w:val="center"/>
        <w:rPr>
          <w:sz w:val="22"/>
        </w:rPr>
      </w:pPr>
      <w:r>
        <w:rPr>
          <w:b/>
          <w:sz w:val="22"/>
        </w:rPr>
        <w:t>Phone: </w:t>
      </w:r>
      <w:r>
        <w:rPr>
          <w:sz w:val="22"/>
        </w:rPr>
        <w:t>0345 388 3162</w:t>
      </w:r>
    </w:p>
    <w:p>
      <w:pPr>
        <w:pStyle w:val="BodyText"/>
      </w:pPr>
    </w:p>
    <w:p>
      <w:pPr>
        <w:pStyle w:val="BodyText"/>
        <w:spacing w:before="4"/>
        <w:rPr>
          <w:sz w:val="29"/>
        </w:rPr>
      </w:pPr>
    </w:p>
    <w:p>
      <w:pPr>
        <w:spacing w:before="0"/>
        <w:ind w:left="1136" w:right="1394" w:firstLine="0"/>
        <w:jc w:val="center"/>
        <w:rPr>
          <w:sz w:val="32"/>
        </w:rPr>
      </w:pPr>
      <w:hyperlink r:id="rId20">
        <w:r>
          <w:rPr>
            <w:color w:val="EC7C30"/>
            <w:sz w:val="32"/>
            <w:u w:val="thick" w:color="EC7C30"/>
          </w:rPr>
          <w:t>Subscribe Online</w:t>
        </w:r>
      </w:hyperlink>
    </w:p>
    <w:p>
      <w:pPr>
        <w:spacing w:after="0"/>
        <w:jc w:val="center"/>
        <w:rPr>
          <w:sz w:val="32"/>
        </w:rPr>
        <w:sectPr>
          <w:pgSz w:w="11910" w:h="16840"/>
          <w:pgMar w:header="715" w:footer="1445" w:top="920" w:bottom="1640" w:left="102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line="1573" w:lineRule="exact" w:before="89"/>
        <w:ind w:left="1136" w:right="1394" w:firstLine="0"/>
        <w:jc w:val="center"/>
        <w:rPr>
          <w:rFonts w:ascii="Trebuchet MS"/>
          <w:sz w:val="144"/>
        </w:rPr>
      </w:pPr>
      <w:bookmarkStart w:name="_bookmark7" w:id="9"/>
      <w:bookmarkEnd w:id="9"/>
      <w:r>
        <w:rPr/>
      </w:r>
      <w:r>
        <w:rPr>
          <w:rFonts w:ascii="Trebuchet MS"/>
          <w:w w:val="75"/>
          <w:sz w:val="144"/>
        </w:rPr>
        <w:t>APPENDIX</w:t>
      </w:r>
    </w:p>
    <w:p>
      <w:pPr>
        <w:spacing w:line="1556" w:lineRule="exact" w:before="0"/>
        <w:ind w:left="1136" w:right="1395" w:firstLine="0"/>
        <w:jc w:val="center"/>
        <w:rPr>
          <w:sz w:val="144"/>
        </w:rPr>
      </w:pPr>
      <w:r>
        <w:rPr>
          <w:color w:val="EC7C30"/>
          <w:w w:val="60"/>
          <w:sz w:val="144"/>
        </w:rPr>
        <w:t>ONE</w:t>
      </w:r>
    </w:p>
    <w:p>
      <w:pPr>
        <w:spacing w:before="396"/>
        <w:ind w:left="1136" w:right="1396" w:firstLine="0"/>
        <w:jc w:val="center"/>
        <w:rPr>
          <w:b/>
          <w:sz w:val="32"/>
        </w:rPr>
      </w:pPr>
      <w:r>
        <w:rPr>
          <w:b/>
          <w:sz w:val="32"/>
        </w:rPr>
        <w:t>DfE Draft Guidance for RSE and Health Education</w:t>
      </w:r>
    </w:p>
    <w:p>
      <w:pPr>
        <w:spacing w:after="0"/>
        <w:jc w:val="center"/>
        <w:rPr>
          <w:sz w:val="32"/>
        </w:rPr>
        <w:sectPr>
          <w:pgSz w:w="11910" w:h="16840"/>
          <w:pgMar w:header="715" w:footer="1445" w:top="920" w:bottom="1640" w:left="1020" w:right="760"/>
        </w:sectPr>
      </w:pPr>
    </w:p>
    <w:p>
      <w:pPr>
        <w:pStyle w:val="BodyText"/>
        <w:ind w:left="114"/>
        <w:rPr>
          <w:sz w:val="20"/>
        </w:rPr>
      </w:pPr>
      <w:r>
        <w:rPr>
          <w:sz w:val="20"/>
        </w:rPr>
        <w:drawing>
          <wp:inline distT="0" distB="0" distL="0" distR="0">
            <wp:extent cx="1249674" cy="753618"/>
            <wp:effectExtent l="0" t="0" r="0" b="0"/>
            <wp:docPr id="23" name="image10.jpeg" descr="Department for Education"/>
            <wp:cNvGraphicFramePr>
              <a:graphicFrameLocks noChangeAspect="1"/>
            </wp:cNvGraphicFramePr>
            <a:graphic>
              <a:graphicData uri="http://schemas.openxmlformats.org/drawingml/2006/picture">
                <pic:pic>
                  <pic:nvPicPr>
                    <pic:cNvPr id="24" name="image10.jpeg"/>
                    <pic:cNvPicPr/>
                  </pic:nvPicPr>
                  <pic:blipFill>
                    <a:blip r:embed="rId23" cstate="print"/>
                    <a:stretch>
                      <a:fillRect/>
                    </a:stretch>
                  </pic:blipFill>
                  <pic:spPr>
                    <a:xfrm>
                      <a:off x="0" y="0"/>
                      <a:ext cx="1249674" cy="753618"/>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spacing w:before="102"/>
        <w:ind w:left="114" w:right="590" w:firstLine="0"/>
        <w:jc w:val="left"/>
        <w:rPr>
          <w:b/>
          <w:sz w:val="92"/>
        </w:rPr>
      </w:pPr>
      <w:r>
        <w:rPr>
          <w:b/>
          <w:color w:val="02466C"/>
          <w:sz w:val="92"/>
        </w:rPr>
        <w:t>Relationships Education, Relationships and Sex Education (RSE) and Health Education</w:t>
      </w:r>
    </w:p>
    <w:p>
      <w:pPr>
        <w:spacing w:before="240"/>
        <w:ind w:left="114" w:right="290" w:firstLine="0"/>
        <w:jc w:val="left"/>
        <w:rPr>
          <w:b/>
          <w:sz w:val="44"/>
        </w:rPr>
      </w:pPr>
      <w:r>
        <w:rPr>
          <w:b/>
          <w:color w:val="02466C"/>
          <w:sz w:val="44"/>
        </w:rPr>
        <w:t>Draft statutory guidance for governing bodies, proprietors, head teachers, principals, senior leadership teams, teachers</w:t>
      </w:r>
    </w:p>
    <w:p>
      <w:pPr>
        <w:pStyle w:val="BodyText"/>
        <w:rPr>
          <w:b/>
          <w:sz w:val="52"/>
        </w:rPr>
      </w:pPr>
    </w:p>
    <w:p>
      <w:pPr>
        <w:pStyle w:val="BodyText"/>
        <w:rPr>
          <w:b/>
          <w:sz w:val="52"/>
        </w:rPr>
      </w:pPr>
    </w:p>
    <w:p>
      <w:pPr>
        <w:spacing w:before="324"/>
        <w:ind w:left="114" w:right="0" w:firstLine="0"/>
        <w:jc w:val="left"/>
        <w:rPr>
          <w:b/>
          <w:sz w:val="44"/>
        </w:rPr>
      </w:pPr>
      <w:r>
        <w:rPr>
          <w:b/>
          <w:color w:val="194174"/>
          <w:sz w:val="44"/>
        </w:rPr>
        <w:t>February 2019</w:t>
      </w:r>
    </w:p>
    <w:p>
      <w:pPr>
        <w:spacing w:after="0"/>
        <w:jc w:val="left"/>
        <w:rPr>
          <w:sz w:val="44"/>
        </w:rPr>
        <w:sectPr>
          <w:headerReference w:type="default" r:id="rId21"/>
          <w:footerReference w:type="default" r:id="rId22"/>
          <w:pgSz w:w="11910" w:h="16840"/>
          <w:pgMar w:header="0" w:footer="0" w:top="1300" w:bottom="280" w:left="1020" w:right="760"/>
        </w:sectPr>
      </w:pPr>
    </w:p>
    <w:p>
      <w:pPr>
        <w:spacing w:before="140"/>
        <w:ind w:left="114" w:right="0" w:firstLine="0"/>
        <w:jc w:val="left"/>
        <w:rPr>
          <w:b/>
          <w:sz w:val="36"/>
        </w:rPr>
      </w:pPr>
      <w:r>
        <w:rPr>
          <w:b/>
          <w:color w:val="02466C"/>
          <w:sz w:val="36"/>
        </w:rPr>
        <w:t>Contents</w:t>
      </w:r>
    </w:p>
    <w:p>
      <w:pPr>
        <w:spacing w:after="0"/>
        <w:jc w:val="left"/>
        <w:rPr>
          <w:sz w:val="36"/>
        </w:rPr>
        <w:sectPr>
          <w:headerReference w:type="default" r:id="rId24"/>
          <w:footerReference w:type="default" r:id="rId25"/>
          <w:pgSz w:w="11910" w:h="16840"/>
          <w:pgMar w:header="708" w:footer="783" w:top="980" w:bottom="1258" w:left="1020" w:right="760"/>
          <w:pgNumType w:start="2"/>
        </w:sectPr>
      </w:pPr>
    </w:p>
    <w:sdt>
      <w:sdtPr>
        <w:docPartObj>
          <w:docPartGallery w:val="Table of Contents"/>
          <w:docPartUnique/>
        </w:docPartObj>
      </w:sdtPr>
      <w:sdtEndPr/>
      <w:sdtContent>
        <w:p>
          <w:pPr>
            <w:pStyle w:val="TOC1"/>
            <w:tabs>
              <w:tab w:pos="9476" w:val="left" w:leader="none"/>
            </w:tabs>
            <w:spacing w:before="321"/>
          </w:pPr>
          <w:hyperlink w:history="true" w:anchor="_bookmark8">
            <w:r>
              <w:rPr/>
              <w:t>Secretary of</w:t>
            </w:r>
            <w:r>
              <w:rPr>
                <w:spacing w:val="-5"/>
              </w:rPr>
              <w:t> </w:t>
            </w:r>
            <w:r>
              <w:rPr/>
              <w:t>State</w:t>
            </w:r>
            <w:r>
              <w:rPr>
                <w:spacing w:val="-2"/>
              </w:rPr>
              <w:t> </w:t>
            </w:r>
            <w:r>
              <w:rPr/>
              <w:t>Foreword</w:t>
              <w:tab/>
              <w:t>4</w:t>
            </w:r>
          </w:hyperlink>
        </w:p>
        <w:p>
          <w:pPr>
            <w:pStyle w:val="TOC1"/>
            <w:tabs>
              <w:tab w:pos="9476" w:val="left" w:leader="none"/>
            </w:tabs>
          </w:pPr>
          <w:hyperlink w:history="true" w:anchor="_bookmark9">
            <w:r>
              <w:rPr/>
              <w:t>Summary</w:t>
              <w:tab/>
              <w:t>6</w:t>
            </w:r>
          </w:hyperlink>
        </w:p>
        <w:p>
          <w:pPr>
            <w:pStyle w:val="TOC2"/>
            <w:tabs>
              <w:tab w:pos="9476" w:val="left" w:leader="none"/>
            </w:tabs>
          </w:pPr>
          <w:hyperlink w:history="true" w:anchor="_bookmark10">
            <w:r>
              <w:rPr/>
              <w:t>What is the status of</w:t>
            </w:r>
            <w:r>
              <w:rPr>
                <w:spacing w:val="-10"/>
              </w:rPr>
              <w:t> </w:t>
            </w:r>
            <w:r>
              <w:rPr/>
              <w:t>this</w:t>
            </w:r>
            <w:r>
              <w:rPr>
                <w:spacing w:val="-2"/>
              </w:rPr>
              <w:t> </w:t>
            </w:r>
            <w:r>
              <w:rPr/>
              <w:t>guidance?</w:t>
              <w:tab/>
              <w:t>6</w:t>
            </w:r>
          </w:hyperlink>
        </w:p>
        <w:p>
          <w:pPr>
            <w:pStyle w:val="TOC2"/>
            <w:tabs>
              <w:tab w:pos="9476" w:val="left" w:leader="none"/>
            </w:tabs>
            <w:spacing w:before="176"/>
          </w:pPr>
          <w:hyperlink w:history="true" w:anchor="_bookmark11">
            <w:r>
              <w:rPr/>
              <w:t>About</w:t>
            </w:r>
            <w:r>
              <w:rPr>
                <w:spacing w:val="-2"/>
              </w:rPr>
              <w:t> </w:t>
            </w:r>
            <w:r>
              <w:rPr/>
              <w:t>this</w:t>
            </w:r>
            <w:r>
              <w:rPr>
                <w:spacing w:val="-3"/>
              </w:rPr>
              <w:t> </w:t>
            </w:r>
            <w:r>
              <w:rPr/>
              <w:t>guidance</w:t>
              <w:tab/>
              <w:t>6</w:t>
            </w:r>
          </w:hyperlink>
        </w:p>
        <w:p>
          <w:pPr>
            <w:pStyle w:val="TOC2"/>
            <w:tabs>
              <w:tab w:pos="9476" w:val="left" w:leader="none"/>
            </w:tabs>
          </w:pPr>
          <w:hyperlink w:history="true" w:anchor="_bookmark12">
            <w:r>
              <w:rPr/>
              <w:t>Who this guidance</w:t>
            </w:r>
            <w:r>
              <w:rPr>
                <w:spacing w:val="-6"/>
              </w:rPr>
              <w:t> </w:t>
            </w:r>
            <w:r>
              <w:rPr/>
              <w:t>is</w:t>
            </w:r>
            <w:r>
              <w:rPr>
                <w:spacing w:val="-2"/>
              </w:rPr>
              <w:t> </w:t>
            </w:r>
            <w:r>
              <w:rPr/>
              <w:t>for</w:t>
              <w:tab/>
              <w:t>6</w:t>
            </w:r>
          </w:hyperlink>
        </w:p>
        <w:p>
          <w:pPr>
            <w:pStyle w:val="TOC2"/>
            <w:tabs>
              <w:tab w:pos="9476" w:val="left" w:leader="none"/>
            </w:tabs>
          </w:pPr>
          <w:hyperlink w:history="true" w:anchor="_bookmark13">
            <w:r>
              <w:rPr/>
              <w:t>What this</w:t>
            </w:r>
            <w:r>
              <w:rPr>
                <w:spacing w:val="-6"/>
              </w:rPr>
              <w:t> </w:t>
            </w:r>
            <w:r>
              <w:rPr/>
              <w:t>guidance</w:t>
            </w:r>
            <w:r>
              <w:rPr>
                <w:spacing w:val="-3"/>
              </w:rPr>
              <w:t> </w:t>
            </w:r>
            <w:r>
              <w:rPr/>
              <w:t>updates</w:t>
              <w:tab/>
              <w:t>7</w:t>
            </w:r>
          </w:hyperlink>
        </w:p>
        <w:p>
          <w:pPr>
            <w:pStyle w:val="TOC1"/>
            <w:tabs>
              <w:tab w:pos="9476" w:val="left" w:leader="none"/>
            </w:tabs>
          </w:pPr>
          <w:hyperlink w:history="true" w:anchor="_bookmark14">
            <w:r>
              <w:rPr/>
              <w:t>Introduction</w:t>
              <w:tab/>
              <w:t>8</w:t>
            </w:r>
          </w:hyperlink>
        </w:p>
        <w:p>
          <w:pPr>
            <w:pStyle w:val="TOC2"/>
            <w:tabs>
              <w:tab w:pos="9343" w:val="left" w:leader="none"/>
            </w:tabs>
            <w:spacing w:before="176"/>
          </w:pPr>
          <w:hyperlink w:history="true" w:anchor="_bookmark15">
            <w:r>
              <w:rPr/>
              <w:t>Summary</w:t>
            </w:r>
            <w:r>
              <w:rPr>
                <w:spacing w:val="-4"/>
              </w:rPr>
              <w:t> </w:t>
            </w:r>
            <w:r>
              <w:rPr/>
              <w:t>of</w:t>
            </w:r>
            <w:r>
              <w:rPr>
                <w:spacing w:val="-2"/>
              </w:rPr>
              <w:t> </w:t>
            </w:r>
            <w:r>
              <w:rPr/>
              <w:t>requirements</w:t>
              <w:tab/>
              <w:t>10</w:t>
            </w:r>
          </w:hyperlink>
        </w:p>
        <w:p>
          <w:pPr>
            <w:pStyle w:val="TOC1"/>
            <w:tabs>
              <w:tab w:pos="9343" w:val="left" w:leader="none"/>
            </w:tabs>
          </w:pPr>
          <w:hyperlink w:history="true" w:anchor="_bookmark16">
            <w:r>
              <w:rPr/>
              <w:t>Developing</w:t>
            </w:r>
            <w:r>
              <w:rPr>
                <w:spacing w:val="-2"/>
              </w:rPr>
              <w:t> </w:t>
            </w:r>
            <w:r>
              <w:rPr/>
              <w:t>a</w:t>
            </w:r>
            <w:r>
              <w:rPr>
                <w:spacing w:val="-3"/>
              </w:rPr>
              <w:t> </w:t>
            </w:r>
            <w:r>
              <w:rPr/>
              <w:t>policy</w:t>
              <w:tab/>
              <w:t>11</w:t>
            </w:r>
          </w:hyperlink>
        </w:p>
        <w:p>
          <w:pPr>
            <w:pStyle w:val="TOC2"/>
            <w:tabs>
              <w:tab w:pos="9343" w:val="left" w:leader="none"/>
            </w:tabs>
          </w:pPr>
          <w:hyperlink w:history="true" w:anchor="_bookmark17">
            <w:r>
              <w:rPr/>
              <w:t>What</w:t>
            </w:r>
            <w:r>
              <w:rPr>
                <w:spacing w:val="-2"/>
              </w:rPr>
              <w:t> </w:t>
            </w:r>
            <w:r>
              <w:rPr/>
              <w:t>is</w:t>
            </w:r>
            <w:r>
              <w:rPr>
                <w:spacing w:val="-3"/>
              </w:rPr>
              <w:t> </w:t>
            </w:r>
            <w:r>
              <w:rPr/>
              <w:t>required?</w:t>
              <w:tab/>
              <w:t>11</w:t>
            </w:r>
          </w:hyperlink>
        </w:p>
        <w:p>
          <w:pPr>
            <w:pStyle w:val="TOC2"/>
            <w:tabs>
              <w:tab w:pos="9343" w:val="left" w:leader="none"/>
            </w:tabs>
          </w:pPr>
          <w:hyperlink w:history="true" w:anchor="_bookmark18">
            <w:r>
              <w:rPr/>
              <w:t>Religion and belief, including teaching in schools with a</w:t>
            </w:r>
            <w:r>
              <w:rPr>
                <w:spacing w:val="-29"/>
              </w:rPr>
              <w:t> </w:t>
            </w:r>
            <w:r>
              <w:rPr/>
              <w:t>religious</w:t>
            </w:r>
            <w:r>
              <w:rPr>
                <w:spacing w:val="-4"/>
              </w:rPr>
              <w:t> </w:t>
            </w:r>
            <w:r>
              <w:rPr/>
              <w:t>character</w:t>
              <w:tab/>
              <w:t>12</w:t>
            </w:r>
          </w:hyperlink>
        </w:p>
        <w:p>
          <w:pPr>
            <w:pStyle w:val="TOC2"/>
            <w:tabs>
              <w:tab w:pos="9343" w:val="left" w:leader="none"/>
            </w:tabs>
          </w:pPr>
          <w:hyperlink w:history="true" w:anchor="_bookmark19">
            <w:r>
              <w:rPr/>
              <w:t>Use</w:t>
            </w:r>
            <w:r>
              <w:rPr>
                <w:spacing w:val="-3"/>
              </w:rPr>
              <w:t> </w:t>
            </w:r>
            <w:r>
              <w:rPr/>
              <w:t>of</w:t>
            </w:r>
            <w:r>
              <w:rPr>
                <w:spacing w:val="-1"/>
              </w:rPr>
              <w:t> </w:t>
            </w:r>
            <w:r>
              <w:rPr/>
              <w:t>materials</w:t>
              <w:tab/>
              <w:t>13</w:t>
            </w:r>
          </w:hyperlink>
        </w:p>
        <w:p>
          <w:pPr>
            <w:pStyle w:val="TOC2"/>
            <w:tabs>
              <w:tab w:pos="9343" w:val="left" w:leader="none"/>
            </w:tabs>
            <w:spacing w:before="176"/>
          </w:pPr>
          <w:hyperlink w:history="true" w:anchor="_bookmark20">
            <w:r>
              <w:rPr/>
              <w:t>Equality</w:t>
              <w:tab/>
              <w:t>13</w:t>
            </w:r>
          </w:hyperlink>
        </w:p>
        <w:p>
          <w:pPr>
            <w:pStyle w:val="TOC3"/>
            <w:tabs>
              <w:tab w:pos="9343" w:val="left" w:leader="none"/>
            </w:tabs>
            <w:rPr>
              <w:i/>
            </w:rPr>
          </w:pPr>
          <w:hyperlink w:history="true" w:anchor="_bookmark21">
            <w:r>
              <w:rPr>
                <w:i/>
              </w:rPr>
              <w:t>Pupils with special educational needs and</w:t>
            </w:r>
            <w:r>
              <w:rPr>
                <w:i/>
                <w:spacing w:val="-22"/>
              </w:rPr>
              <w:t> </w:t>
            </w:r>
            <w:r>
              <w:rPr>
                <w:i/>
              </w:rPr>
              <w:t>disabilities</w:t>
            </w:r>
            <w:r>
              <w:rPr>
                <w:i/>
                <w:spacing w:val="-3"/>
              </w:rPr>
              <w:t> </w:t>
            </w:r>
            <w:r>
              <w:rPr>
                <w:i/>
              </w:rPr>
              <w:t>(SEND)</w:t>
              <w:tab/>
              <w:t>15</w:t>
            </w:r>
          </w:hyperlink>
        </w:p>
        <w:p>
          <w:pPr>
            <w:pStyle w:val="TOC3"/>
            <w:tabs>
              <w:tab w:pos="9343" w:val="left" w:leader="none"/>
            </w:tabs>
            <w:spacing w:before="175"/>
            <w:rPr>
              <w:i/>
            </w:rPr>
          </w:pPr>
          <w:hyperlink w:history="true" w:anchor="_bookmark22">
            <w:r>
              <w:rPr>
                <w:i/>
              </w:rPr>
              <w:t>Lesbian, Gay, Bisexual and</w:t>
            </w:r>
            <w:r>
              <w:rPr>
                <w:i/>
                <w:spacing w:val="-12"/>
              </w:rPr>
              <w:t> </w:t>
            </w:r>
            <w:r>
              <w:rPr>
                <w:i/>
              </w:rPr>
              <w:t>Transgender</w:t>
            </w:r>
            <w:r>
              <w:rPr>
                <w:i/>
                <w:spacing w:val="-3"/>
              </w:rPr>
              <w:t> </w:t>
            </w:r>
            <w:r>
              <w:rPr>
                <w:i/>
              </w:rPr>
              <w:t>(LGBT)</w:t>
              <w:tab/>
              <w:t>15</w:t>
            </w:r>
          </w:hyperlink>
        </w:p>
        <w:p>
          <w:pPr>
            <w:pStyle w:val="TOC2"/>
            <w:tabs>
              <w:tab w:pos="9343" w:val="left" w:leader="none"/>
            </w:tabs>
            <w:spacing w:before="174"/>
          </w:pPr>
          <w:hyperlink w:history="true" w:anchor="_bookmark23">
            <w:r>
              <w:rPr/>
              <w:t>Governors</w:t>
              <w:tab/>
              <w:t>16</w:t>
            </w:r>
          </w:hyperlink>
        </w:p>
        <w:p>
          <w:pPr>
            <w:pStyle w:val="TOC1"/>
            <w:tabs>
              <w:tab w:pos="9343" w:val="left" w:leader="none"/>
            </w:tabs>
            <w:spacing w:before="176"/>
          </w:pPr>
          <w:hyperlink w:history="true" w:anchor="_bookmark24">
            <w:r>
              <w:rPr/>
              <w:t>Working with parents/carers and the</w:t>
            </w:r>
            <w:r>
              <w:rPr>
                <w:spacing w:val="-16"/>
              </w:rPr>
              <w:t> </w:t>
            </w:r>
            <w:r>
              <w:rPr/>
              <w:t>wider</w:t>
            </w:r>
            <w:r>
              <w:rPr>
                <w:spacing w:val="-1"/>
              </w:rPr>
              <w:t> </w:t>
            </w:r>
            <w:r>
              <w:rPr/>
              <w:t>community</w:t>
              <w:tab/>
              <w:t>17</w:t>
            </w:r>
          </w:hyperlink>
        </w:p>
        <w:p>
          <w:pPr>
            <w:pStyle w:val="TOC2"/>
            <w:tabs>
              <w:tab w:pos="9343" w:val="left" w:leader="none"/>
            </w:tabs>
            <w:spacing w:line="288" w:lineRule="auto"/>
            <w:ind w:right="514"/>
          </w:pPr>
          <w:hyperlink w:history="true" w:anchor="_bookmark25">
            <w:r>
              <w:rPr/>
              <w:t>Right to be excused from sex education (commonly referred to as the right to</w:t>
            </w:r>
          </w:hyperlink>
          <w:r>
            <w:rPr/>
            <w:t> </w:t>
          </w:r>
          <w:hyperlink w:history="true" w:anchor="_bookmark25">
            <w:r>
              <w:rPr/>
              <w:t>withdraw)</w:t>
              <w:tab/>
            </w:r>
            <w:r>
              <w:rPr>
                <w:spacing w:val="-9"/>
              </w:rPr>
              <w:t>17</w:t>
            </w:r>
          </w:hyperlink>
        </w:p>
        <w:p>
          <w:pPr>
            <w:pStyle w:val="TOC2"/>
            <w:tabs>
              <w:tab w:pos="9343" w:val="left" w:leader="none"/>
            </w:tabs>
            <w:spacing w:before="120"/>
          </w:pPr>
          <w:hyperlink w:history="true" w:anchor="_bookmark26">
            <w:r>
              <w:rPr/>
              <w:t>Working with</w:t>
            </w:r>
            <w:r>
              <w:rPr>
                <w:spacing w:val="-7"/>
              </w:rPr>
              <w:t> </w:t>
            </w:r>
            <w:r>
              <w:rPr/>
              <w:t>external</w:t>
            </w:r>
            <w:r>
              <w:rPr>
                <w:spacing w:val="-3"/>
              </w:rPr>
              <w:t> </w:t>
            </w:r>
            <w:r>
              <w:rPr/>
              <w:t>agencies</w:t>
              <w:tab/>
              <w:t>18</w:t>
            </w:r>
          </w:hyperlink>
        </w:p>
        <w:p>
          <w:pPr>
            <w:pStyle w:val="TOC1"/>
            <w:tabs>
              <w:tab w:pos="9343" w:val="left" w:leader="none"/>
            </w:tabs>
            <w:spacing w:before="174"/>
          </w:pPr>
          <w:hyperlink w:history="true" w:anchor="_bookmark27">
            <w:r>
              <w:rPr/>
              <w:t>Relationships</w:t>
            </w:r>
            <w:r>
              <w:rPr>
                <w:spacing w:val="-5"/>
              </w:rPr>
              <w:t> </w:t>
            </w:r>
            <w:r>
              <w:rPr/>
              <w:t>Education</w:t>
            </w:r>
            <w:r>
              <w:rPr>
                <w:spacing w:val="-4"/>
              </w:rPr>
              <w:t> </w:t>
            </w:r>
            <w:r>
              <w:rPr/>
              <w:t>(Primary)</w:t>
              <w:tab/>
              <w:t>19</w:t>
            </w:r>
          </w:hyperlink>
        </w:p>
        <w:p>
          <w:pPr>
            <w:pStyle w:val="TOC3"/>
            <w:tabs>
              <w:tab w:pos="9343" w:val="left" w:leader="none"/>
            </w:tabs>
            <w:rPr>
              <w:i/>
            </w:rPr>
          </w:pPr>
          <w:hyperlink w:history="true" w:anchor="_bookmark28">
            <w:r>
              <w:rPr>
                <w:i/>
              </w:rPr>
              <w:t>By the end of</w:t>
            </w:r>
            <w:r>
              <w:rPr>
                <w:i/>
                <w:spacing w:val="-8"/>
              </w:rPr>
              <w:t> </w:t>
            </w:r>
            <w:r>
              <w:rPr>
                <w:i/>
              </w:rPr>
              <w:t>primary</w:t>
            </w:r>
            <w:r>
              <w:rPr>
                <w:i/>
                <w:spacing w:val="-1"/>
              </w:rPr>
              <w:t> </w:t>
            </w:r>
            <w:r>
              <w:rPr>
                <w:i/>
              </w:rPr>
              <w:t>school:</w:t>
              <w:tab/>
              <w:t>20</w:t>
            </w:r>
          </w:hyperlink>
        </w:p>
        <w:p>
          <w:pPr>
            <w:pStyle w:val="TOC2"/>
            <w:tabs>
              <w:tab w:pos="9343" w:val="left" w:leader="none"/>
            </w:tabs>
            <w:spacing w:before="174"/>
          </w:pPr>
          <w:hyperlink w:history="true" w:anchor="_bookmark29">
            <w:r>
              <w:rPr/>
              <w:t>Managing</w:t>
            </w:r>
            <w:r>
              <w:rPr>
                <w:spacing w:val="-4"/>
              </w:rPr>
              <w:t> </w:t>
            </w:r>
            <w:r>
              <w:rPr/>
              <w:t>difficult</w:t>
            </w:r>
            <w:r>
              <w:rPr>
                <w:spacing w:val="-3"/>
              </w:rPr>
              <w:t> </w:t>
            </w:r>
            <w:r>
              <w:rPr/>
              <w:t>questions</w:t>
              <w:tab/>
              <w:t>23</w:t>
            </w:r>
          </w:hyperlink>
        </w:p>
        <w:p>
          <w:pPr>
            <w:pStyle w:val="TOC2"/>
            <w:tabs>
              <w:tab w:pos="9343" w:val="left" w:leader="none"/>
            </w:tabs>
            <w:spacing w:before="176"/>
          </w:pPr>
          <w:hyperlink w:history="true" w:anchor="_bookmark30">
            <w:r>
              <w:rPr/>
              <w:t>Sex</w:t>
            </w:r>
            <w:r>
              <w:rPr>
                <w:spacing w:val="-4"/>
              </w:rPr>
              <w:t> </w:t>
            </w:r>
            <w:r>
              <w:rPr/>
              <w:t>Education</w:t>
            </w:r>
            <w:r>
              <w:rPr>
                <w:spacing w:val="-2"/>
              </w:rPr>
              <w:t> </w:t>
            </w:r>
            <w:r>
              <w:rPr/>
              <w:t>(Primary)</w:t>
              <w:tab/>
              <w:t>23</w:t>
            </w:r>
          </w:hyperlink>
        </w:p>
        <w:p>
          <w:pPr>
            <w:pStyle w:val="TOC1"/>
            <w:tabs>
              <w:tab w:pos="9343" w:val="left" w:leader="none"/>
            </w:tabs>
          </w:pPr>
          <w:hyperlink w:history="true" w:anchor="_bookmark31">
            <w:r>
              <w:rPr/>
              <w:t>Relationships and Sex Education</w:t>
            </w:r>
            <w:r>
              <w:rPr>
                <w:spacing w:val="-15"/>
              </w:rPr>
              <w:t> </w:t>
            </w:r>
            <w:r>
              <w:rPr/>
              <w:t>(RSE):</w:t>
            </w:r>
            <w:r>
              <w:rPr>
                <w:spacing w:val="-3"/>
              </w:rPr>
              <w:t> </w:t>
            </w:r>
            <w:r>
              <w:rPr/>
              <w:t>Secondary</w:t>
              <w:tab/>
              <w:t>25</w:t>
            </w:r>
          </w:hyperlink>
        </w:p>
        <w:p>
          <w:pPr>
            <w:pStyle w:val="TOC3"/>
            <w:tabs>
              <w:tab w:pos="9343" w:val="left" w:leader="none"/>
            </w:tabs>
            <w:rPr>
              <w:i/>
            </w:rPr>
          </w:pPr>
          <w:hyperlink w:history="true" w:anchor="_bookmark32">
            <w:r>
              <w:rPr>
                <w:i/>
              </w:rPr>
              <w:t>By the end of</w:t>
            </w:r>
            <w:r>
              <w:rPr>
                <w:i/>
                <w:spacing w:val="-8"/>
              </w:rPr>
              <w:t> </w:t>
            </w:r>
            <w:r>
              <w:rPr>
                <w:i/>
              </w:rPr>
              <w:t>secondary</w:t>
            </w:r>
            <w:r>
              <w:rPr>
                <w:i/>
                <w:spacing w:val="-2"/>
              </w:rPr>
              <w:t> </w:t>
            </w:r>
            <w:r>
              <w:rPr>
                <w:i/>
              </w:rPr>
              <w:t>school:</w:t>
              <w:tab/>
              <w:t>27</w:t>
            </w:r>
          </w:hyperlink>
        </w:p>
        <w:p>
          <w:pPr>
            <w:pStyle w:val="TOC2"/>
            <w:tabs>
              <w:tab w:pos="9343" w:val="left" w:leader="none"/>
            </w:tabs>
            <w:spacing w:before="174"/>
          </w:pPr>
          <w:hyperlink w:history="true" w:anchor="_bookmark33">
            <w:r>
              <w:rPr/>
              <w:t>The</w:t>
            </w:r>
            <w:r>
              <w:rPr>
                <w:spacing w:val="-2"/>
              </w:rPr>
              <w:t> </w:t>
            </w:r>
            <w:r>
              <w:rPr/>
              <w:t>Law</w:t>
              <w:tab/>
              <w:t>30</w:t>
            </w:r>
          </w:hyperlink>
        </w:p>
        <w:p>
          <w:pPr>
            <w:pStyle w:val="TOC1"/>
            <w:tabs>
              <w:tab w:pos="9343" w:val="left" w:leader="none"/>
            </w:tabs>
          </w:pPr>
          <w:hyperlink w:history="true" w:anchor="_bookmark34">
            <w:r>
              <w:rPr/>
              <w:t>Physical health and</w:t>
            </w:r>
            <w:r>
              <w:rPr>
                <w:spacing w:val="-10"/>
              </w:rPr>
              <w:t> </w:t>
            </w:r>
            <w:r>
              <w:rPr/>
              <w:t>mental</w:t>
            </w:r>
            <w:r>
              <w:rPr>
                <w:spacing w:val="-3"/>
              </w:rPr>
              <w:t> </w:t>
            </w:r>
            <w:r>
              <w:rPr/>
              <w:t>wellbeing</w:t>
              <w:tab/>
              <w:t>31</w:t>
            </w:r>
          </w:hyperlink>
        </w:p>
        <w:p>
          <w:pPr>
            <w:pStyle w:val="TOC2"/>
            <w:tabs>
              <w:tab w:pos="9343" w:val="left" w:leader="none"/>
            </w:tabs>
            <w:spacing w:before="176"/>
          </w:pPr>
          <w:hyperlink w:history="true" w:anchor="_bookmark35">
            <w:r>
              <w:rPr/>
              <w:t>Menstruation</w:t>
              <w:tab/>
              <w:t>31</w:t>
            </w:r>
          </w:hyperlink>
        </w:p>
        <w:p>
          <w:pPr>
            <w:pStyle w:val="TOC2"/>
            <w:tabs>
              <w:tab w:pos="9343" w:val="left" w:leader="none"/>
            </w:tabs>
          </w:pPr>
          <w:hyperlink w:history="true" w:anchor="_bookmark36">
            <w:r>
              <w:rPr/>
              <w:t>Physical health and mental</w:t>
            </w:r>
            <w:r>
              <w:rPr>
                <w:spacing w:val="-13"/>
              </w:rPr>
              <w:t> </w:t>
            </w:r>
            <w:r>
              <w:rPr/>
              <w:t>wellbeing:</w:t>
            </w:r>
            <w:r>
              <w:rPr>
                <w:spacing w:val="-2"/>
              </w:rPr>
              <w:t> </w:t>
            </w:r>
            <w:r>
              <w:rPr/>
              <w:t>Primary</w:t>
              <w:tab/>
              <w:t>32</w:t>
            </w:r>
          </w:hyperlink>
        </w:p>
        <w:p>
          <w:pPr>
            <w:pStyle w:val="TOC2"/>
            <w:tabs>
              <w:tab w:pos="9343" w:val="left" w:leader="none"/>
            </w:tabs>
            <w:spacing w:after="20"/>
          </w:pPr>
          <w:hyperlink w:history="true" w:anchor="_bookmark37">
            <w:r>
              <w:rPr/>
              <w:t>Physical health and mental</w:t>
            </w:r>
            <w:r>
              <w:rPr>
                <w:spacing w:val="-14"/>
              </w:rPr>
              <w:t> </w:t>
            </w:r>
            <w:r>
              <w:rPr/>
              <w:t>wellbeing:</w:t>
            </w:r>
            <w:r>
              <w:rPr>
                <w:spacing w:val="-2"/>
              </w:rPr>
              <w:t> </w:t>
            </w:r>
            <w:r>
              <w:rPr/>
              <w:t>Secondary</w:t>
              <w:tab/>
              <w:t>35</w:t>
            </w:r>
          </w:hyperlink>
        </w:p>
        <w:p>
          <w:pPr>
            <w:pStyle w:val="TOC1"/>
            <w:tabs>
              <w:tab w:pos="9609" w:val="right" w:leader="none"/>
            </w:tabs>
            <w:spacing w:before="138"/>
          </w:pPr>
          <w:hyperlink w:history="true" w:anchor="_bookmark38">
            <w:r>
              <w:rPr/>
              <w:t>Delivery and</w:t>
            </w:r>
            <w:r>
              <w:rPr>
                <w:spacing w:val="-1"/>
              </w:rPr>
              <w:t> </w:t>
            </w:r>
            <w:r>
              <w:rPr/>
              <w:t>teaching strategies</w:t>
              <w:tab/>
              <w:t>39</w:t>
            </w:r>
          </w:hyperlink>
        </w:p>
        <w:p>
          <w:pPr>
            <w:pStyle w:val="TOC2"/>
            <w:tabs>
              <w:tab w:pos="9609" w:val="right" w:leader="none"/>
            </w:tabs>
          </w:pPr>
          <w:hyperlink w:history="true" w:anchor="_bookmark39">
            <w:r>
              <w:rPr/>
              <w:t>National curriculum subjects: citizenship, science, computing</w:t>
            </w:r>
            <w:r>
              <w:rPr>
                <w:spacing w:val="-5"/>
              </w:rPr>
              <w:t> </w:t>
            </w:r>
            <w:r>
              <w:rPr/>
              <w:t>and PE</w:t>
              <w:tab/>
              <w:t>39</w:t>
            </w:r>
          </w:hyperlink>
        </w:p>
        <w:p>
          <w:pPr>
            <w:pStyle w:val="TOC2"/>
            <w:tabs>
              <w:tab w:pos="9609" w:val="right" w:leader="none"/>
            </w:tabs>
            <w:spacing w:before="176"/>
          </w:pPr>
          <w:hyperlink w:history="true" w:anchor="_bookmark40">
            <w:r>
              <w:rPr/>
              <w:t>Pupil Referral</w:t>
            </w:r>
            <w:r>
              <w:rPr>
                <w:spacing w:val="-1"/>
              </w:rPr>
              <w:t> </w:t>
            </w:r>
            <w:r>
              <w:rPr/>
              <w:t>Units/Alternative</w:t>
            </w:r>
            <w:r>
              <w:rPr>
                <w:spacing w:val="-1"/>
              </w:rPr>
              <w:t> </w:t>
            </w:r>
            <w:r>
              <w:rPr/>
              <w:t>Provision</w:t>
              <w:tab/>
              <w:t>40</w:t>
            </w:r>
          </w:hyperlink>
        </w:p>
        <w:p>
          <w:pPr>
            <w:pStyle w:val="TOC2"/>
            <w:tabs>
              <w:tab w:pos="9609" w:val="right" w:leader="none"/>
            </w:tabs>
          </w:pPr>
          <w:hyperlink w:history="true" w:anchor="_bookmark41">
            <w:r>
              <w:rPr/>
              <w:t>Senior leadership and whole school</w:t>
            </w:r>
            <w:r>
              <w:rPr>
                <w:spacing w:val="-1"/>
              </w:rPr>
              <w:t> </w:t>
            </w:r>
            <w:r>
              <w:rPr/>
              <w:t>approach</w:t>
              <w:tab/>
              <w:t>40</w:t>
            </w:r>
          </w:hyperlink>
        </w:p>
        <w:p>
          <w:pPr>
            <w:pStyle w:val="TOC2"/>
            <w:tabs>
              <w:tab w:pos="9609" w:val="right" w:leader="none"/>
            </w:tabs>
          </w:pPr>
          <w:hyperlink w:history="true" w:anchor="_bookmark42">
            <w:r>
              <w:rPr/>
              <w:t>Flexibility</w:t>
              <w:tab/>
              <w:t>41</w:t>
            </w:r>
          </w:hyperlink>
        </w:p>
        <w:p>
          <w:pPr>
            <w:pStyle w:val="TOC1"/>
            <w:tabs>
              <w:tab w:pos="9609" w:val="right" w:leader="none"/>
            </w:tabs>
          </w:pPr>
          <w:hyperlink w:history="true" w:anchor="_bookmark43">
            <w:r>
              <w:rPr/>
              <w:t>Safeguarding, reports of abuse</w:t>
            </w:r>
            <w:r>
              <w:rPr>
                <w:spacing w:val="-1"/>
              </w:rPr>
              <w:t> </w:t>
            </w:r>
            <w:r>
              <w:rPr/>
              <w:t>and</w:t>
            </w:r>
            <w:r>
              <w:rPr>
                <w:spacing w:val="-1"/>
              </w:rPr>
              <w:t> </w:t>
            </w:r>
            <w:r>
              <w:rPr/>
              <w:t>confidentiality</w:t>
              <w:tab/>
              <w:t>42</w:t>
            </w:r>
          </w:hyperlink>
        </w:p>
        <w:p>
          <w:pPr>
            <w:pStyle w:val="TOC1"/>
            <w:tabs>
              <w:tab w:pos="9609" w:val="right" w:leader="none"/>
            </w:tabs>
            <w:spacing w:before="176"/>
          </w:pPr>
          <w:hyperlink w:history="true" w:anchor="_bookmark44">
            <w:r>
              <w:rPr/>
              <w:t>Assessment</w:t>
              <w:tab/>
              <w:t>43</w:t>
            </w:r>
          </w:hyperlink>
        </w:p>
        <w:p>
          <w:pPr>
            <w:pStyle w:val="TOC1"/>
            <w:tabs>
              <w:tab w:pos="9609" w:val="right" w:leader="none"/>
            </w:tabs>
          </w:pPr>
          <w:hyperlink w:history="true" w:anchor="_bookmark45">
            <w:r>
              <w:rPr/>
              <w:t>Accountability</w:t>
              <w:tab/>
              <w:t>44</w:t>
            </w:r>
          </w:hyperlink>
        </w:p>
        <w:p>
          <w:pPr>
            <w:pStyle w:val="TOC1"/>
            <w:tabs>
              <w:tab w:pos="9609" w:val="right" w:leader="none"/>
            </w:tabs>
          </w:pPr>
          <w:hyperlink w:history="true" w:anchor="_bookmark46">
            <w:r>
              <w:rPr/>
              <w:t>Annex</w:t>
            </w:r>
            <w:r>
              <w:rPr>
                <w:spacing w:val="-2"/>
              </w:rPr>
              <w:t> </w:t>
            </w:r>
            <w:r>
              <w:rPr/>
              <w:t>A Regulations</w:t>
              <w:tab/>
              <w:t>45</w:t>
            </w:r>
          </w:hyperlink>
        </w:p>
        <w:p>
          <w:pPr>
            <w:pStyle w:val="TOC1"/>
            <w:tabs>
              <w:tab w:pos="9609" w:val="right" w:leader="none"/>
            </w:tabs>
          </w:pPr>
          <w:hyperlink w:history="true" w:anchor="_bookmark47">
            <w:r>
              <w:rPr/>
              <w:t>Annex B</w:t>
            </w:r>
            <w:r>
              <w:rPr>
                <w:spacing w:val="-2"/>
              </w:rPr>
              <w:t> </w:t>
            </w:r>
            <w:r>
              <w:rPr/>
              <w:t>Suggested resources</w:t>
              <w:tab/>
              <w:t>46</w:t>
            </w:r>
          </w:hyperlink>
        </w:p>
        <w:p>
          <w:pPr>
            <w:pStyle w:val="TOC1"/>
            <w:tabs>
              <w:tab w:pos="9609" w:val="right" w:leader="none"/>
            </w:tabs>
          </w:pPr>
          <w:hyperlink w:history="true" w:anchor="_bookmark48">
            <w:r>
              <w:rPr/>
              <w:t>Annex C</w:t>
            </w:r>
            <w:r>
              <w:rPr>
                <w:spacing w:val="-2"/>
              </w:rPr>
              <w:t> </w:t>
            </w:r>
            <w:r>
              <w:rPr/>
              <w:t>Cross-government</w:t>
            </w:r>
            <w:r>
              <w:rPr>
                <w:spacing w:val="1"/>
              </w:rPr>
              <w:t> </w:t>
            </w:r>
            <w:r>
              <w:rPr/>
              <w:t>strategies</w:t>
              <w:tab/>
              <w:t>49</w:t>
            </w:r>
          </w:hyperlink>
        </w:p>
      </w:sdtContent>
    </w:sdt>
    <w:p>
      <w:pPr>
        <w:spacing w:after="0"/>
        <w:sectPr>
          <w:type w:val="continuous"/>
          <w:pgSz w:w="11910" w:h="16840"/>
          <w:pgMar w:top="995" w:bottom="1258" w:left="1020" w:right="760"/>
        </w:sectPr>
      </w:pPr>
    </w:p>
    <w:p>
      <w:pPr>
        <w:pStyle w:val="Heading1"/>
      </w:pPr>
      <w:bookmarkStart w:name="Secretary of State Foreword" w:id="10"/>
      <w:bookmarkEnd w:id="10"/>
      <w:r>
        <w:rPr>
          <w:b w:val="0"/>
        </w:rPr>
      </w:r>
      <w:bookmarkStart w:name="_bookmark8" w:id="11"/>
      <w:bookmarkEnd w:id="11"/>
      <w:r>
        <w:rPr>
          <w:b w:val="0"/>
        </w:rPr>
      </w:r>
      <w:r>
        <w:rPr>
          <w:color w:val="02466C"/>
        </w:rPr>
        <w:t>Secretary of State Foreword</w:t>
      </w:r>
    </w:p>
    <w:p>
      <w:pPr>
        <w:pStyle w:val="BodyText"/>
        <w:spacing w:line="288" w:lineRule="auto" w:before="238"/>
        <w:ind w:left="114" w:right="630"/>
      </w:pPr>
      <w:r>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pPr>
        <w:pStyle w:val="BodyText"/>
        <w:spacing w:line="288" w:lineRule="auto" w:before="240"/>
        <w:ind w:left="114" w:right="685"/>
      </w:pPr>
      <w:r>
        <w:rPr/>
        <w:t>This is why we have made Relationships Education compulsory in all primary schools in England and Relationships and Sex Education compulsory in all secondary schools, as well as making Health Education compulsory in all state-funded schools. The key decisions on these subjects have been informed by a thorough engagement process, including a public call for evidence that received over 23,000 responses from parents, young people, schools and experts and a public consultation where over 40,000 people contacted the Department for Education.</w:t>
      </w:r>
    </w:p>
    <w:p>
      <w:pPr>
        <w:pStyle w:val="BodyText"/>
        <w:spacing w:line="288" w:lineRule="auto" w:before="241"/>
        <w:ind w:left="114" w:right="537"/>
      </w:pPr>
      <w:r>
        <w:rPr/>
        <w:t>The depth and breadth of views is clear, and there are understandable and legitimate areas of contention. Our guiding principles have been that all of the compulsory subject content must be age appropriate and developmentally appropriate. It must be taught sensitively and inclusively, with respect to the backgrounds and beliefs of pupils and parents while always with the aim of providing pupils with the knowledge they need of the law.</w:t>
      </w:r>
    </w:p>
    <w:p>
      <w:pPr>
        <w:pStyle w:val="BodyText"/>
        <w:spacing w:line="288" w:lineRule="auto" w:before="240"/>
        <w:ind w:left="114" w:right="552"/>
      </w:pPr>
      <w:r>
        <w:rPr/>
        <w:t>We are clear that parents and carers are the prime educators for children on many of these matters. Schools complement and reinforce this role and have told us that they see building on what pupils learn at home as an important part of delivering a good education. We agree with this principle and congratulate the many schools delivering outstanding provision to support the personal development and pastoral needs of their pupils. We are determined that the subjects must be deliverable and give schools flexibility to shape their curriculum according to the needs of their pupils and communities.</w:t>
      </w:r>
    </w:p>
    <w:p>
      <w:pPr>
        <w:pStyle w:val="BodyText"/>
        <w:spacing w:line="288" w:lineRule="auto" w:before="239"/>
        <w:ind w:left="114" w:right="670"/>
      </w:pPr>
      <w:r>
        <w:rPr/>
        <w:t>In primary schools, we want the subjects to put in place the key building blocks of healthy, respectful relationships, focusing on family and friendships, in all contexts, including online. This will sit alongside the essential understanding of how to be healthy. At secondary, teaching will build on the knowledge acquired at primary and develop further pupils’ understanding of health, with an increased focus on risk areas such as drugs and alcohol, as well as introducing knowledge about intimate relationships and sex.</w:t>
      </w:r>
    </w:p>
    <w:p>
      <w:pPr>
        <w:pStyle w:val="BodyText"/>
        <w:spacing w:line="288" w:lineRule="auto" w:before="240"/>
        <w:ind w:left="114" w:right="751"/>
      </w:pPr>
      <w:r>
        <w:rPr/>
        <w:t>Teaching about mental wellbeing is central to these subjects, especially as a priority for parents is their children’s happiness. We know that children and young people are increasingly experiencing challenges, and that young people are at particular risk of feeling lonely. The new subject content will give them the knowledge and capability to take care of themselves and receive support if problems arise.</w:t>
      </w:r>
    </w:p>
    <w:p>
      <w:pPr>
        <w:spacing w:after="0" w:line="288" w:lineRule="auto"/>
        <w:sectPr>
          <w:pgSz w:w="11910" w:h="16840"/>
          <w:pgMar w:header="708" w:footer="783" w:top="980" w:bottom="980" w:left="1020" w:right="760"/>
        </w:sectPr>
      </w:pPr>
    </w:p>
    <w:p>
      <w:pPr>
        <w:pStyle w:val="BodyText"/>
        <w:spacing w:line="288" w:lineRule="auto" w:before="138"/>
        <w:ind w:left="114" w:right="776"/>
      </w:pPr>
      <w:r>
        <w:rPr/>
        <w:t>All of this content should support the wider work of schools in helping to foster pupil wellbeing and develop resilience and character that we know are fundamental to pupils being happy, successful and productive members of society. Central to this is pupils’ ability to believe that they can achieve goals, both academic and personal; to stick to tasks that will help them achieve those goals, even when the reward may be distant or uncertain; and to recover from knocks and challenging periods in their lives.</w:t>
      </w:r>
    </w:p>
    <w:p>
      <w:pPr>
        <w:pStyle w:val="BodyText"/>
        <w:spacing w:line="288" w:lineRule="auto" w:before="240"/>
        <w:ind w:left="114" w:right="551"/>
      </w:pPr>
      <w:r>
        <w:rPr/>
        <w:t>This should be complemented by development of personal attributes including kindness, integrity, generosity, and honesty. We have endeavoured to ensure the content is proportionate and deliverable. Whilst we are not mandating content on financial education or careers, we want to support the high quality teaching of these areas in all schools as part of a comprehensive programme, which complements the national curriculum where appropriate and meets the ambitions of the Careers Strategy. We know that many schools will choose to teach the compulsory content within a wider programme of Personal, Social, Health and Economic Education or similar. Schools are encouraged to continue to do so, if this is right for them, and build on established, high quality programmes.</w:t>
      </w:r>
    </w:p>
    <w:p>
      <w:pPr>
        <w:pStyle w:val="BodyText"/>
        <w:spacing w:line="288" w:lineRule="auto" w:before="241"/>
        <w:ind w:left="114" w:right="576"/>
      </w:pPr>
      <w:r>
        <w:rPr/>
        <w:t>These subjects represent a huge opportunity to help our children and young people develop. The knowledge and attributes gained will support their own, and others’, wellbeing and attainment and help young people to become successful and happy adults who make a meaningful contribution to society.</w:t>
      </w:r>
    </w:p>
    <w:p>
      <w:pPr>
        <w:spacing w:after="0" w:line="288" w:lineRule="auto"/>
        <w:sectPr>
          <w:pgSz w:w="11910" w:h="16840"/>
          <w:pgMar w:header="708" w:footer="783" w:top="980" w:bottom="980" w:left="1020" w:right="760"/>
        </w:sectPr>
      </w:pPr>
    </w:p>
    <w:p>
      <w:pPr>
        <w:pStyle w:val="Heading1"/>
      </w:pPr>
      <w:bookmarkStart w:name="Summary" w:id="12"/>
      <w:bookmarkEnd w:id="12"/>
      <w:r>
        <w:rPr>
          <w:b w:val="0"/>
        </w:rPr>
      </w:r>
      <w:bookmarkStart w:name="_bookmark9" w:id="13"/>
      <w:bookmarkEnd w:id="13"/>
      <w:r>
        <w:rPr>
          <w:b w:val="0"/>
        </w:rPr>
      </w:r>
      <w:r>
        <w:rPr>
          <w:color w:val="02466C"/>
        </w:rPr>
        <w:t>Summary</w:t>
      </w:r>
    </w:p>
    <w:p>
      <w:pPr>
        <w:pStyle w:val="BodyText"/>
        <w:spacing w:before="8"/>
        <w:rPr>
          <w:b/>
          <w:sz w:val="41"/>
        </w:rPr>
      </w:pPr>
    </w:p>
    <w:p>
      <w:pPr>
        <w:pStyle w:val="Heading2"/>
      </w:pPr>
      <w:bookmarkStart w:name="What is the status of this guidance?" w:id="14"/>
      <w:bookmarkEnd w:id="14"/>
      <w:r>
        <w:rPr>
          <w:b w:val="0"/>
        </w:rPr>
      </w:r>
      <w:bookmarkStart w:name="_bookmark10" w:id="15"/>
      <w:bookmarkEnd w:id="15"/>
      <w:r>
        <w:rPr>
          <w:b w:val="0"/>
        </w:rPr>
      </w:r>
      <w:r>
        <w:rPr>
          <w:color w:val="02466C"/>
        </w:rPr>
        <w:t>What is the status of this guidance?</w:t>
      </w:r>
    </w:p>
    <w:p>
      <w:pPr>
        <w:pStyle w:val="BodyText"/>
        <w:spacing w:line="288" w:lineRule="auto" w:before="238"/>
        <w:ind w:left="114" w:right="724"/>
      </w:pPr>
      <w:r>
        <w:rPr/>
        <w:t>This is statutory guidance from the Department for Education issued under Section 80A of the Education Act 2002 – further details are in Annex A.</w:t>
      </w:r>
    </w:p>
    <w:p>
      <w:pPr>
        <w:pStyle w:val="BodyText"/>
        <w:spacing w:line="288" w:lineRule="auto" w:before="235"/>
        <w:ind w:left="113" w:right="684"/>
      </w:pPr>
      <w:r>
        <w:rPr/>
        <w:t>Schools</w:t>
      </w:r>
      <w:r>
        <w:rPr>
          <w:position w:val="8"/>
          <w:sz w:val="16"/>
        </w:rPr>
        <w:t>1 </w:t>
      </w:r>
      <w:r>
        <w:rPr/>
        <w:t>must have regard to the guidance, and where they depart from those parts of the guidance which state that they should (or should not) do something they will need to have good reasons for doing so.</w:t>
      </w:r>
    </w:p>
    <w:p>
      <w:pPr>
        <w:pStyle w:val="BodyText"/>
        <w:spacing w:before="9"/>
        <w:rPr>
          <w:sz w:val="41"/>
        </w:rPr>
      </w:pPr>
    </w:p>
    <w:p>
      <w:pPr>
        <w:pStyle w:val="Heading2"/>
        <w:spacing w:before="0"/>
      </w:pPr>
      <w:bookmarkStart w:name="About this guidance" w:id="16"/>
      <w:bookmarkEnd w:id="16"/>
      <w:r>
        <w:rPr>
          <w:b w:val="0"/>
        </w:rPr>
      </w:r>
      <w:bookmarkStart w:name="_bookmark11" w:id="17"/>
      <w:bookmarkEnd w:id="17"/>
      <w:r>
        <w:rPr>
          <w:b w:val="0"/>
        </w:rPr>
      </w:r>
      <w:r>
        <w:rPr>
          <w:color w:val="02466C"/>
        </w:rPr>
        <w:t>About this guidance</w:t>
      </w:r>
    </w:p>
    <w:p>
      <w:pPr>
        <w:pStyle w:val="BodyText"/>
        <w:spacing w:line="288" w:lineRule="auto" w:before="239"/>
        <w:ind w:left="113" w:right="885"/>
      </w:pPr>
      <w:r>
        <w:rPr/>
        <w:t>This document contains information on what schools </w:t>
      </w:r>
      <w:r>
        <w:rPr>
          <w:b/>
        </w:rPr>
        <w:t>should </w:t>
      </w:r>
      <w:r>
        <w:rPr/>
        <w:t>do and sets out the legal duties with which schools </w:t>
      </w:r>
      <w:r>
        <w:rPr>
          <w:b/>
        </w:rPr>
        <w:t>must </w:t>
      </w:r>
      <w:r>
        <w:rPr/>
        <w:t>comply when teaching Relationships Education, Relationships and Sex Education (RSE) and Health Education.</w:t>
      </w:r>
    </w:p>
    <w:p>
      <w:pPr>
        <w:pStyle w:val="BodyText"/>
        <w:spacing w:line="288" w:lineRule="auto" w:before="240"/>
        <w:ind w:left="114" w:right="1391"/>
      </w:pPr>
      <w:r>
        <w:rPr/>
        <w:t>Unless otherwise specified, ‘school’ means all schools, whether maintained, non- maintained or independent schools, including academies and free schools, non- maintained special schools, maintained special schools and alternative provision, including pupil referral units.</w:t>
      </w:r>
    </w:p>
    <w:p>
      <w:pPr>
        <w:pStyle w:val="BodyText"/>
        <w:spacing w:before="10"/>
        <w:rPr>
          <w:sz w:val="41"/>
        </w:rPr>
      </w:pPr>
    </w:p>
    <w:p>
      <w:pPr>
        <w:pStyle w:val="Heading2"/>
      </w:pPr>
      <w:bookmarkStart w:name="Who this guidance is for" w:id="18"/>
      <w:bookmarkEnd w:id="18"/>
      <w:r>
        <w:rPr>
          <w:b w:val="0"/>
        </w:rPr>
      </w:r>
      <w:bookmarkStart w:name="_bookmark12" w:id="19"/>
      <w:bookmarkEnd w:id="19"/>
      <w:r>
        <w:rPr>
          <w:b w:val="0"/>
        </w:rPr>
      </w:r>
      <w:r>
        <w:rPr>
          <w:color w:val="02466C"/>
        </w:rPr>
        <w:t>Who this guidance is for</w:t>
      </w:r>
    </w:p>
    <w:p>
      <w:pPr>
        <w:pStyle w:val="BodyText"/>
        <w:spacing w:before="233"/>
        <w:ind w:left="114"/>
      </w:pPr>
      <w:r>
        <w:rPr/>
        <w:t>This statutory guidance applies to all schools</w:t>
      </w:r>
      <w:r>
        <w:rPr>
          <w:position w:val="8"/>
          <w:sz w:val="16"/>
        </w:rPr>
        <w:t>2</w:t>
      </w:r>
      <w:r>
        <w:rPr/>
        <w:t>, and is therefore aimed at:</w:t>
      </w:r>
    </w:p>
    <w:p>
      <w:pPr>
        <w:pStyle w:val="BodyText"/>
        <w:spacing w:before="7"/>
        <w:rPr>
          <w:sz w:val="25"/>
        </w:rPr>
      </w:pPr>
    </w:p>
    <w:p>
      <w:pPr>
        <w:pStyle w:val="ListParagraph"/>
        <w:numPr>
          <w:ilvl w:val="1"/>
          <w:numId w:val="13"/>
        </w:numPr>
        <w:tabs>
          <w:tab w:pos="1193" w:val="left" w:leader="none"/>
          <w:tab w:pos="1194" w:val="left" w:leader="none"/>
        </w:tabs>
        <w:spacing w:line="283" w:lineRule="auto" w:before="1" w:after="0"/>
        <w:ind w:left="1194" w:right="860" w:hanging="360"/>
        <w:jc w:val="left"/>
        <w:rPr>
          <w:sz w:val="24"/>
        </w:rPr>
      </w:pPr>
      <w:r>
        <w:rPr>
          <w:sz w:val="24"/>
        </w:rPr>
        <w:t>governing bodies of maintained schools (including schools with a sixth form) and non-maintained special</w:t>
      </w:r>
      <w:r>
        <w:rPr>
          <w:spacing w:val="-1"/>
          <w:sz w:val="24"/>
        </w:rPr>
        <w:t> </w:t>
      </w:r>
      <w:r>
        <w:rPr>
          <w:sz w:val="24"/>
        </w:rPr>
        <w:t>schools;</w:t>
      </w:r>
    </w:p>
    <w:p>
      <w:pPr>
        <w:pStyle w:val="ListParagraph"/>
        <w:numPr>
          <w:ilvl w:val="1"/>
          <w:numId w:val="13"/>
        </w:numPr>
        <w:tabs>
          <w:tab w:pos="1193" w:val="left" w:leader="none"/>
          <w:tab w:pos="1194" w:val="left" w:leader="none"/>
        </w:tabs>
        <w:spacing w:line="240" w:lineRule="auto" w:before="85" w:after="0"/>
        <w:ind w:left="1194" w:right="0" w:hanging="360"/>
        <w:jc w:val="left"/>
        <w:rPr>
          <w:sz w:val="24"/>
        </w:rPr>
      </w:pPr>
      <w:r>
        <w:rPr>
          <w:sz w:val="24"/>
        </w:rPr>
        <w:t>trustees or directors of academies and free</w:t>
      </w:r>
      <w:r>
        <w:rPr>
          <w:spacing w:val="-5"/>
          <w:sz w:val="24"/>
        </w:rPr>
        <w:t> </w:t>
      </w:r>
      <w:r>
        <w:rPr>
          <w:sz w:val="24"/>
        </w:rPr>
        <w:t>schools;</w:t>
      </w:r>
    </w:p>
    <w:p>
      <w:pPr>
        <w:pStyle w:val="ListParagraph"/>
        <w:numPr>
          <w:ilvl w:val="1"/>
          <w:numId w:val="13"/>
        </w:numPr>
        <w:tabs>
          <w:tab w:pos="1193" w:val="left" w:leader="none"/>
          <w:tab w:pos="1194" w:val="left" w:leader="none"/>
        </w:tabs>
        <w:spacing w:line="240" w:lineRule="auto" w:before="133" w:after="0"/>
        <w:ind w:left="1194" w:right="0" w:hanging="360"/>
        <w:jc w:val="left"/>
        <w:rPr>
          <w:sz w:val="24"/>
        </w:rPr>
      </w:pPr>
      <w:r>
        <w:rPr>
          <w:sz w:val="24"/>
        </w:rPr>
        <w:t>proprietors of independent schools (including academies and free</w:t>
      </w:r>
      <w:r>
        <w:rPr>
          <w:spacing w:val="-12"/>
          <w:sz w:val="24"/>
        </w:rPr>
        <w:t> </w:t>
      </w:r>
      <w:r>
        <w:rPr>
          <w:sz w:val="24"/>
        </w:rPr>
        <w:t>schools);</w:t>
      </w:r>
    </w:p>
    <w:p>
      <w:pPr>
        <w:pStyle w:val="ListParagraph"/>
        <w:numPr>
          <w:ilvl w:val="1"/>
          <w:numId w:val="13"/>
        </w:numPr>
        <w:tabs>
          <w:tab w:pos="1193" w:val="left" w:leader="none"/>
          <w:tab w:pos="1194" w:val="left" w:leader="none"/>
        </w:tabs>
        <w:spacing w:line="240" w:lineRule="auto" w:before="134" w:after="0"/>
        <w:ind w:left="1194" w:right="0" w:hanging="360"/>
        <w:jc w:val="left"/>
        <w:rPr>
          <w:sz w:val="24"/>
        </w:rPr>
      </w:pPr>
      <w:r>
        <w:rPr>
          <w:sz w:val="24"/>
        </w:rPr>
        <w:t>management committees of pupil referral units</w:t>
      </w:r>
      <w:r>
        <w:rPr>
          <w:spacing w:val="-1"/>
          <w:sz w:val="24"/>
        </w:rPr>
        <w:t> </w:t>
      </w:r>
      <w:r>
        <w:rPr>
          <w:sz w:val="24"/>
        </w:rPr>
        <w:t>(PRUs);</w:t>
      </w:r>
    </w:p>
    <w:p>
      <w:pPr>
        <w:pStyle w:val="ListParagraph"/>
        <w:numPr>
          <w:ilvl w:val="1"/>
          <w:numId w:val="13"/>
        </w:numPr>
        <w:tabs>
          <w:tab w:pos="1193" w:val="left" w:leader="none"/>
          <w:tab w:pos="1194" w:val="left" w:leader="none"/>
        </w:tabs>
        <w:spacing w:line="240" w:lineRule="auto" w:before="133" w:after="0"/>
        <w:ind w:left="1194" w:right="0" w:hanging="360"/>
        <w:jc w:val="left"/>
        <w:rPr>
          <w:sz w:val="24"/>
        </w:rPr>
      </w:pPr>
      <w:r>
        <w:rPr>
          <w:sz w:val="24"/>
        </w:rPr>
        <w:t>teachers, other school staff and school nurses;</w:t>
      </w:r>
    </w:p>
    <w:p>
      <w:pPr>
        <w:pStyle w:val="ListParagraph"/>
        <w:numPr>
          <w:ilvl w:val="1"/>
          <w:numId w:val="13"/>
        </w:numPr>
        <w:tabs>
          <w:tab w:pos="1193" w:val="left" w:leader="none"/>
          <w:tab w:pos="1194" w:val="left" w:leader="none"/>
        </w:tabs>
        <w:spacing w:line="240" w:lineRule="auto" w:before="133" w:after="0"/>
        <w:ind w:left="1194" w:right="0" w:hanging="360"/>
        <w:jc w:val="left"/>
        <w:rPr>
          <w:sz w:val="24"/>
        </w:rPr>
      </w:pPr>
      <w:r>
        <w:rPr>
          <w:sz w:val="24"/>
        </w:rPr>
        <w:t>head teachers, principals and senior leadership</w:t>
      </w:r>
      <w:r>
        <w:rPr>
          <w:spacing w:val="-2"/>
          <w:sz w:val="24"/>
        </w:rPr>
        <w:t> </w:t>
      </w:r>
      <w:r>
        <w:rPr>
          <w:sz w:val="24"/>
        </w:rPr>
        <w:t>teams;</w:t>
      </w:r>
    </w:p>
    <w:p>
      <w:pPr>
        <w:pStyle w:val="ListParagraph"/>
        <w:numPr>
          <w:ilvl w:val="1"/>
          <w:numId w:val="13"/>
        </w:numPr>
        <w:tabs>
          <w:tab w:pos="1193" w:val="left" w:leader="none"/>
          <w:tab w:pos="1194" w:val="left" w:leader="none"/>
        </w:tabs>
        <w:spacing w:line="240" w:lineRule="auto" w:before="133" w:after="0"/>
        <w:ind w:left="1194" w:right="0" w:hanging="360"/>
        <w:jc w:val="left"/>
        <w:rPr>
          <w:sz w:val="24"/>
        </w:rPr>
      </w:pPr>
      <w:r>
        <w:rPr>
          <w:sz w:val="24"/>
        </w:rPr>
        <w:t>Diocese and other faith representatives; and</w:t>
      </w:r>
    </w:p>
    <w:p>
      <w:pPr>
        <w:pStyle w:val="ListParagraph"/>
        <w:numPr>
          <w:ilvl w:val="1"/>
          <w:numId w:val="13"/>
        </w:numPr>
        <w:tabs>
          <w:tab w:pos="1193" w:val="left" w:leader="none"/>
          <w:tab w:pos="1194" w:val="left" w:leader="none"/>
        </w:tabs>
        <w:spacing w:line="240" w:lineRule="auto" w:before="133" w:after="0"/>
        <w:ind w:left="1194" w:right="0" w:hanging="360"/>
        <w:jc w:val="left"/>
        <w:rPr>
          <w:sz w:val="24"/>
        </w:rPr>
      </w:pPr>
      <w:r>
        <w:rPr>
          <w:sz w:val="24"/>
        </w:rPr>
        <w:t>for reference for relevant local authority</w:t>
      </w:r>
      <w:r>
        <w:rPr>
          <w:spacing w:val="-1"/>
          <w:sz w:val="24"/>
        </w:rPr>
        <w:t> </w:t>
      </w:r>
      <w:r>
        <w:rPr>
          <w:sz w:val="24"/>
        </w:rPr>
        <w:t>staff.</w:t>
      </w:r>
    </w:p>
    <w:p>
      <w:pPr>
        <w:pStyle w:val="BodyText"/>
        <w:rPr>
          <w:sz w:val="20"/>
        </w:rPr>
      </w:pPr>
    </w:p>
    <w:p>
      <w:pPr>
        <w:pStyle w:val="BodyText"/>
        <w:rPr>
          <w:sz w:val="20"/>
        </w:rPr>
      </w:pPr>
    </w:p>
    <w:p>
      <w:pPr>
        <w:pStyle w:val="BodyText"/>
        <w:rPr>
          <w:sz w:val="20"/>
        </w:rPr>
      </w:pPr>
    </w:p>
    <w:p>
      <w:pPr>
        <w:pStyle w:val="BodyText"/>
        <w:spacing w:before="5"/>
        <w:rPr>
          <w:sz w:val="23"/>
        </w:rPr>
      </w:pPr>
      <w:r>
        <w:rPr/>
        <w:pict>
          <v:shape style="position:absolute;margin-left:56.700001pt;margin-top:15.760852pt;width:144pt;height:.1pt;mso-position-horizontal-relative:page;mso-position-vertical-relative:paragraph;z-index:-251653120;mso-wrap-distance-left:0;mso-wrap-distance-right:0" coordorigin="1134,315" coordsize="2880,0" path="m1134,315l4014,315e" filled="false" stroked="true" strokeweight=".599pt" strokecolor="#000000">
            <v:path arrowok="t"/>
            <v:stroke dashstyle="solid"/>
            <w10:wrap type="topAndBottom"/>
          </v:shape>
        </w:pict>
      </w:r>
    </w:p>
    <w:p>
      <w:pPr>
        <w:pStyle w:val="BodyText"/>
        <w:spacing w:before="7"/>
        <w:rPr>
          <w:sz w:val="16"/>
        </w:rPr>
      </w:pPr>
    </w:p>
    <w:p>
      <w:pPr>
        <w:spacing w:before="98"/>
        <w:ind w:left="113" w:right="631" w:firstLine="0"/>
        <w:jc w:val="left"/>
        <w:rPr>
          <w:sz w:val="18"/>
        </w:rPr>
      </w:pPr>
      <w:r>
        <w:rPr>
          <w:position w:val="6"/>
          <w:sz w:val="12"/>
        </w:rPr>
        <w:t>1</w:t>
      </w:r>
      <w:r>
        <w:rPr>
          <w:sz w:val="18"/>
        </w:rPr>
        <w:t>, </w:t>
      </w:r>
      <w:r>
        <w:rPr>
          <w:position w:val="6"/>
          <w:sz w:val="12"/>
        </w:rPr>
        <w:t>2 </w:t>
      </w:r>
      <w:r>
        <w:rPr>
          <w:sz w:val="18"/>
        </w:rPr>
        <w:t>Guidance on Health Education does not apply to independent schools, which must meet the Independent School Standards as set out in the Education (Independent School Standards) Regulations 2014. However, they may find the sections on Health Education helpful. It does, however, apply to academies and free schools.</w:t>
      </w:r>
    </w:p>
    <w:p>
      <w:pPr>
        <w:spacing w:after="0"/>
        <w:jc w:val="left"/>
        <w:rPr>
          <w:sz w:val="18"/>
        </w:rPr>
        <w:sectPr>
          <w:pgSz w:w="11910" w:h="16840"/>
          <w:pgMar w:header="708" w:footer="783" w:top="980" w:bottom="980" w:left="1020" w:right="760"/>
        </w:sectPr>
      </w:pPr>
    </w:p>
    <w:p>
      <w:pPr>
        <w:pStyle w:val="Heading2"/>
        <w:spacing w:before="140"/>
      </w:pPr>
      <w:bookmarkStart w:name="What this guidance updates" w:id="20"/>
      <w:bookmarkEnd w:id="20"/>
      <w:r>
        <w:rPr>
          <w:b w:val="0"/>
        </w:rPr>
      </w:r>
      <w:bookmarkStart w:name="_bookmark13" w:id="21"/>
      <w:bookmarkEnd w:id="21"/>
      <w:r>
        <w:rPr>
          <w:b w:val="0"/>
        </w:rPr>
      </w:r>
      <w:r>
        <w:rPr>
          <w:color w:val="02466C"/>
        </w:rPr>
        <w:t>What this guidance updates</w:t>
      </w:r>
    </w:p>
    <w:p>
      <w:pPr>
        <w:spacing w:line="288" w:lineRule="auto" w:before="239"/>
        <w:ind w:left="114" w:right="574" w:firstLine="0"/>
        <w:jc w:val="left"/>
        <w:rPr>
          <w:sz w:val="24"/>
        </w:rPr>
      </w:pPr>
      <w:r>
        <w:rPr>
          <w:sz w:val="23"/>
        </w:rPr>
        <w:t>This guidance replaces the Sex and Relationship Education guidance (2000). </w:t>
      </w:r>
      <w:r>
        <w:rPr>
          <w:sz w:val="24"/>
        </w:rPr>
        <w:t>This guidance will be reviewed three years from first required teaching (September 2020) and every three years after that point.</w:t>
      </w:r>
    </w:p>
    <w:p>
      <w:pPr>
        <w:pStyle w:val="BodyText"/>
        <w:spacing w:before="240"/>
        <w:ind w:left="114"/>
      </w:pPr>
      <w:r>
        <w:rPr/>
        <w:t>The guidance should be read in conjunction with:</w:t>
      </w:r>
    </w:p>
    <w:p>
      <w:pPr>
        <w:pStyle w:val="ListParagraph"/>
        <w:numPr>
          <w:ilvl w:val="1"/>
          <w:numId w:val="13"/>
        </w:numPr>
        <w:tabs>
          <w:tab w:pos="1193" w:val="left" w:leader="none"/>
          <w:tab w:pos="1194" w:val="left" w:leader="none"/>
        </w:tabs>
        <w:spacing w:line="240" w:lineRule="auto" w:before="155" w:after="0"/>
        <w:ind w:left="1194" w:right="0" w:hanging="360"/>
        <w:jc w:val="left"/>
        <w:rPr>
          <w:sz w:val="24"/>
        </w:rPr>
      </w:pPr>
      <w:hyperlink r:id="rId26">
        <w:r>
          <w:rPr>
            <w:color w:val="2B4FA2"/>
            <w:sz w:val="24"/>
            <w:u w:val="single" w:color="2B4FA2"/>
          </w:rPr>
          <w:t>Keeping Children Safe in Education</w:t>
        </w:r>
        <w:r>
          <w:rPr>
            <w:color w:val="2B4FA2"/>
            <w:sz w:val="24"/>
          </w:rPr>
          <w:t> </w:t>
        </w:r>
      </w:hyperlink>
      <w:r>
        <w:rPr>
          <w:sz w:val="24"/>
        </w:rPr>
        <w:t>(statutory</w:t>
      </w:r>
      <w:r>
        <w:rPr>
          <w:spacing w:val="-4"/>
          <w:sz w:val="24"/>
        </w:rPr>
        <w:t> </w:t>
      </w:r>
      <w:r>
        <w:rPr>
          <w:sz w:val="24"/>
        </w:rPr>
        <w:t>guidance)</w:t>
      </w:r>
    </w:p>
    <w:p>
      <w:pPr>
        <w:pStyle w:val="ListParagraph"/>
        <w:numPr>
          <w:ilvl w:val="1"/>
          <w:numId w:val="13"/>
        </w:numPr>
        <w:tabs>
          <w:tab w:pos="1193" w:val="left" w:leader="none"/>
          <w:tab w:pos="1194" w:val="left" w:leader="none"/>
        </w:tabs>
        <w:spacing w:line="283" w:lineRule="auto" w:before="153" w:after="0"/>
        <w:ind w:left="1194" w:right="806" w:hanging="360"/>
        <w:jc w:val="left"/>
        <w:rPr>
          <w:sz w:val="24"/>
        </w:rPr>
      </w:pPr>
      <w:hyperlink r:id="rId27">
        <w:r>
          <w:rPr>
            <w:color w:val="2B4FA2"/>
            <w:sz w:val="24"/>
            <w:u w:val="single" w:color="2B4FA2"/>
          </w:rPr>
          <w:t>Respectful School Communities: Self Review and Signposting Tool</w:t>
        </w:r>
        <w:r>
          <w:rPr>
            <w:color w:val="2B4FA2"/>
            <w:sz w:val="24"/>
          </w:rPr>
          <w:t> </w:t>
        </w:r>
      </w:hyperlink>
      <w:r>
        <w:rPr>
          <w:sz w:val="24"/>
        </w:rPr>
        <w:t>(a tool to support a whole school approach that promotes respect and</w:t>
      </w:r>
      <w:r>
        <w:rPr>
          <w:spacing w:val="-15"/>
          <w:sz w:val="24"/>
        </w:rPr>
        <w:t> </w:t>
      </w:r>
      <w:r>
        <w:rPr>
          <w:sz w:val="24"/>
        </w:rPr>
        <w:t>discipline)</w:t>
      </w:r>
    </w:p>
    <w:p>
      <w:pPr>
        <w:pStyle w:val="ListParagraph"/>
        <w:numPr>
          <w:ilvl w:val="1"/>
          <w:numId w:val="13"/>
        </w:numPr>
        <w:tabs>
          <w:tab w:pos="1193" w:val="left" w:leader="none"/>
          <w:tab w:pos="1194" w:val="left" w:leader="none"/>
        </w:tabs>
        <w:spacing w:line="285" w:lineRule="auto" w:before="125" w:after="0"/>
        <w:ind w:left="1194" w:right="859" w:hanging="360"/>
        <w:jc w:val="left"/>
        <w:rPr>
          <w:sz w:val="24"/>
        </w:rPr>
      </w:pPr>
      <w:hyperlink r:id="rId28">
        <w:r>
          <w:rPr>
            <w:color w:val="2B4FA2"/>
            <w:sz w:val="24"/>
            <w:u w:val="single" w:color="2B4FA2"/>
          </w:rPr>
          <w:t>Behaviour and Discipline in Schools</w:t>
        </w:r>
        <w:r>
          <w:rPr>
            <w:color w:val="2B4FA2"/>
            <w:sz w:val="24"/>
          </w:rPr>
          <w:t> </w:t>
        </w:r>
      </w:hyperlink>
      <w:r>
        <w:rPr>
          <w:sz w:val="24"/>
        </w:rPr>
        <w:t>(advice for schools, including advice for appropriate behaviour between</w:t>
      </w:r>
      <w:r>
        <w:rPr>
          <w:spacing w:val="1"/>
          <w:sz w:val="24"/>
        </w:rPr>
        <w:t> </w:t>
      </w:r>
      <w:r>
        <w:rPr>
          <w:sz w:val="24"/>
        </w:rPr>
        <w:t>pupils)</w:t>
      </w:r>
    </w:p>
    <w:p>
      <w:pPr>
        <w:pStyle w:val="ListParagraph"/>
        <w:numPr>
          <w:ilvl w:val="1"/>
          <w:numId w:val="13"/>
        </w:numPr>
        <w:tabs>
          <w:tab w:pos="1193" w:val="left" w:leader="none"/>
          <w:tab w:pos="1194" w:val="left" w:leader="none"/>
        </w:tabs>
        <w:spacing w:line="240" w:lineRule="auto" w:before="102" w:after="0"/>
        <w:ind w:left="1194" w:right="0" w:hanging="360"/>
        <w:jc w:val="left"/>
        <w:rPr>
          <w:sz w:val="24"/>
        </w:rPr>
      </w:pPr>
      <w:hyperlink r:id="rId29">
        <w:r>
          <w:rPr>
            <w:color w:val="2B4FA2"/>
            <w:sz w:val="24"/>
            <w:u w:val="single" w:color="2B4FA2"/>
          </w:rPr>
          <w:t>Equality Act 2010 and schools</w:t>
        </w:r>
      </w:hyperlink>
    </w:p>
    <w:p>
      <w:pPr>
        <w:pStyle w:val="ListParagraph"/>
        <w:numPr>
          <w:ilvl w:val="1"/>
          <w:numId w:val="13"/>
        </w:numPr>
        <w:tabs>
          <w:tab w:pos="1193" w:val="left" w:leader="none"/>
          <w:tab w:pos="1194" w:val="left" w:leader="none"/>
        </w:tabs>
        <w:spacing w:line="240" w:lineRule="auto" w:before="153" w:after="0"/>
        <w:ind w:left="1194" w:right="0" w:hanging="360"/>
        <w:jc w:val="left"/>
        <w:rPr>
          <w:sz w:val="24"/>
        </w:rPr>
      </w:pPr>
      <w:hyperlink r:id="rId30">
        <w:r>
          <w:rPr>
            <w:color w:val="2B4FA2"/>
            <w:sz w:val="24"/>
            <w:u w:val="single" w:color="2B4FA2"/>
          </w:rPr>
          <w:t>SEND code of practice: 0 to 25 years</w:t>
        </w:r>
        <w:r>
          <w:rPr>
            <w:color w:val="2B4FA2"/>
            <w:sz w:val="24"/>
          </w:rPr>
          <w:t> </w:t>
        </w:r>
      </w:hyperlink>
      <w:r>
        <w:rPr>
          <w:sz w:val="24"/>
        </w:rPr>
        <w:t>(statutory</w:t>
      </w:r>
      <w:r>
        <w:rPr>
          <w:spacing w:val="-4"/>
          <w:sz w:val="24"/>
        </w:rPr>
        <w:t> </w:t>
      </w:r>
      <w:r>
        <w:rPr>
          <w:sz w:val="24"/>
        </w:rPr>
        <w:t>guidance)</w:t>
      </w:r>
    </w:p>
    <w:p>
      <w:pPr>
        <w:pStyle w:val="ListParagraph"/>
        <w:numPr>
          <w:ilvl w:val="1"/>
          <w:numId w:val="13"/>
        </w:numPr>
        <w:tabs>
          <w:tab w:pos="1193" w:val="left" w:leader="none"/>
          <w:tab w:pos="1194" w:val="left" w:leader="none"/>
        </w:tabs>
        <w:spacing w:line="240" w:lineRule="auto" w:before="153" w:after="0"/>
        <w:ind w:left="1194" w:right="0" w:hanging="360"/>
        <w:jc w:val="left"/>
        <w:rPr>
          <w:sz w:val="24"/>
        </w:rPr>
      </w:pPr>
      <w:hyperlink r:id="rId31">
        <w:r>
          <w:rPr>
            <w:color w:val="2B4FA2"/>
            <w:sz w:val="24"/>
            <w:u w:val="single" w:color="2B4FA2"/>
          </w:rPr>
          <w:t>Alternative Provision</w:t>
        </w:r>
        <w:r>
          <w:rPr>
            <w:color w:val="2B4FA2"/>
            <w:sz w:val="24"/>
          </w:rPr>
          <w:t> </w:t>
        </w:r>
      </w:hyperlink>
      <w:r>
        <w:rPr>
          <w:sz w:val="24"/>
        </w:rPr>
        <w:t>(statutory</w:t>
      </w:r>
      <w:r>
        <w:rPr>
          <w:spacing w:val="-1"/>
          <w:sz w:val="24"/>
        </w:rPr>
        <w:t> </w:t>
      </w:r>
      <w:r>
        <w:rPr>
          <w:sz w:val="24"/>
        </w:rPr>
        <w:t>guidance)</w:t>
      </w:r>
    </w:p>
    <w:p>
      <w:pPr>
        <w:pStyle w:val="ListParagraph"/>
        <w:numPr>
          <w:ilvl w:val="1"/>
          <w:numId w:val="13"/>
        </w:numPr>
        <w:tabs>
          <w:tab w:pos="1193" w:val="left" w:leader="none"/>
          <w:tab w:pos="1194" w:val="left" w:leader="none"/>
        </w:tabs>
        <w:spacing w:line="240" w:lineRule="auto" w:before="153" w:after="0"/>
        <w:ind w:left="1194" w:right="0" w:hanging="360"/>
        <w:jc w:val="left"/>
        <w:rPr>
          <w:sz w:val="24"/>
        </w:rPr>
      </w:pPr>
      <w:hyperlink r:id="rId32">
        <w:r>
          <w:rPr>
            <w:color w:val="2B4FA2"/>
            <w:sz w:val="24"/>
            <w:u w:val="single" w:color="2B4FA2"/>
          </w:rPr>
          <w:t>Mental Health and Behaviour in Schools</w:t>
        </w:r>
        <w:r>
          <w:rPr>
            <w:color w:val="2B4FA2"/>
            <w:sz w:val="24"/>
          </w:rPr>
          <w:t> </w:t>
        </w:r>
      </w:hyperlink>
      <w:r>
        <w:rPr>
          <w:sz w:val="24"/>
        </w:rPr>
        <w:t>(advice for</w:t>
      </w:r>
      <w:r>
        <w:rPr>
          <w:spacing w:val="-3"/>
          <w:sz w:val="24"/>
        </w:rPr>
        <w:t> </w:t>
      </w:r>
      <w:r>
        <w:rPr>
          <w:sz w:val="24"/>
        </w:rPr>
        <w:t>schools)</w:t>
      </w:r>
    </w:p>
    <w:p>
      <w:pPr>
        <w:pStyle w:val="ListParagraph"/>
        <w:numPr>
          <w:ilvl w:val="1"/>
          <w:numId w:val="13"/>
        </w:numPr>
        <w:tabs>
          <w:tab w:pos="1193" w:val="left" w:leader="none"/>
          <w:tab w:pos="1194" w:val="left" w:leader="none"/>
        </w:tabs>
        <w:spacing w:line="283" w:lineRule="auto" w:before="153" w:after="0"/>
        <w:ind w:left="1194" w:right="1205" w:hanging="360"/>
        <w:jc w:val="left"/>
        <w:rPr>
          <w:sz w:val="24"/>
        </w:rPr>
      </w:pPr>
      <w:hyperlink r:id="rId33">
        <w:r>
          <w:rPr>
            <w:color w:val="2B4FA2"/>
            <w:sz w:val="24"/>
            <w:u w:val="single" w:color="2B4FA2"/>
          </w:rPr>
          <w:t>Preventing and Tackling Bullying</w:t>
        </w:r>
        <w:r>
          <w:rPr>
            <w:color w:val="2B4FA2"/>
            <w:sz w:val="24"/>
          </w:rPr>
          <w:t> </w:t>
        </w:r>
      </w:hyperlink>
      <w:r>
        <w:rPr>
          <w:sz w:val="24"/>
        </w:rPr>
        <w:t>(advice for schools, including advice on</w:t>
      </w:r>
      <w:hyperlink r:id="rId34">
        <w:r>
          <w:rPr>
            <w:color w:val="2B4FA2"/>
            <w:sz w:val="24"/>
            <w:u w:val="single" w:color="2B4FA2"/>
          </w:rPr>
          <w:t> cyberbullying</w:t>
        </w:r>
      </w:hyperlink>
      <w:r>
        <w:rPr>
          <w:sz w:val="24"/>
        </w:rPr>
        <w:t>)</w:t>
      </w:r>
    </w:p>
    <w:p>
      <w:pPr>
        <w:pStyle w:val="ListParagraph"/>
        <w:numPr>
          <w:ilvl w:val="1"/>
          <w:numId w:val="13"/>
        </w:numPr>
        <w:tabs>
          <w:tab w:pos="1193" w:val="left" w:leader="none"/>
          <w:tab w:pos="1194" w:val="left" w:leader="none"/>
        </w:tabs>
        <w:spacing w:line="283" w:lineRule="auto" w:before="106" w:after="0"/>
        <w:ind w:left="1194" w:right="846" w:hanging="360"/>
        <w:jc w:val="left"/>
        <w:rPr>
          <w:sz w:val="24"/>
        </w:rPr>
      </w:pPr>
      <w:hyperlink r:id="rId35">
        <w:r>
          <w:rPr>
            <w:color w:val="2B4FA2"/>
            <w:sz w:val="24"/>
            <w:u w:val="single" w:color="2B4FA2"/>
          </w:rPr>
          <w:t>Sexual violence and sexual harassment between children in schools</w:t>
        </w:r>
        <w:r>
          <w:rPr>
            <w:color w:val="2B4FA2"/>
            <w:sz w:val="24"/>
          </w:rPr>
          <w:t> </w:t>
        </w:r>
      </w:hyperlink>
      <w:r>
        <w:rPr>
          <w:sz w:val="24"/>
        </w:rPr>
        <w:t>(advice for schools)</w:t>
      </w:r>
    </w:p>
    <w:p>
      <w:pPr>
        <w:pStyle w:val="ListParagraph"/>
        <w:numPr>
          <w:ilvl w:val="1"/>
          <w:numId w:val="13"/>
        </w:numPr>
        <w:tabs>
          <w:tab w:pos="1193" w:val="left" w:leader="none"/>
          <w:tab w:pos="1194" w:val="left" w:leader="none"/>
        </w:tabs>
        <w:spacing w:line="283" w:lineRule="auto" w:before="106" w:after="0"/>
        <w:ind w:left="1194" w:right="753" w:hanging="360"/>
        <w:jc w:val="left"/>
        <w:rPr>
          <w:sz w:val="24"/>
        </w:rPr>
      </w:pPr>
      <w:hyperlink r:id="rId36">
        <w:r>
          <w:rPr>
            <w:color w:val="2B4FA2"/>
            <w:sz w:val="24"/>
            <w:u w:val="single" w:color="2B4FA2"/>
          </w:rPr>
          <w:t>The Equality and Human Rights Commission Advice and Guidance</w:t>
        </w:r>
        <w:r>
          <w:rPr>
            <w:color w:val="2B4FA2"/>
            <w:sz w:val="24"/>
          </w:rPr>
          <w:t> </w:t>
        </w:r>
      </w:hyperlink>
      <w:r>
        <w:rPr>
          <w:sz w:val="24"/>
        </w:rPr>
        <w:t>(provides advice on avoiding discrimination in a variety of educational</w:t>
      </w:r>
      <w:r>
        <w:rPr>
          <w:spacing w:val="-12"/>
          <w:sz w:val="24"/>
        </w:rPr>
        <w:t> </w:t>
      </w:r>
      <w:r>
        <w:rPr>
          <w:sz w:val="24"/>
        </w:rPr>
        <w:t>contexts)</w:t>
      </w:r>
    </w:p>
    <w:p>
      <w:pPr>
        <w:pStyle w:val="ListParagraph"/>
        <w:numPr>
          <w:ilvl w:val="1"/>
          <w:numId w:val="13"/>
        </w:numPr>
        <w:tabs>
          <w:tab w:pos="1194" w:val="left" w:leader="none"/>
        </w:tabs>
        <w:spacing w:line="285" w:lineRule="auto" w:before="105" w:after="0"/>
        <w:ind w:left="1194" w:right="754" w:hanging="360"/>
        <w:jc w:val="both"/>
        <w:rPr>
          <w:sz w:val="24"/>
        </w:rPr>
      </w:pPr>
      <w:hyperlink r:id="rId37">
        <w:r>
          <w:rPr>
            <w:color w:val="2B4FA2"/>
            <w:sz w:val="24"/>
            <w:u w:val="single" w:color="2B4FA2"/>
          </w:rPr>
          <w:t>Promoting Fundamental British Values as part of SMSC in schools</w:t>
        </w:r>
        <w:r>
          <w:rPr>
            <w:color w:val="2B4FA2"/>
            <w:sz w:val="24"/>
          </w:rPr>
          <w:t> </w:t>
        </w:r>
      </w:hyperlink>
      <w:r>
        <w:rPr>
          <w:sz w:val="24"/>
        </w:rPr>
        <w:t>(guidance for maintained schools on promoting basic important British values as part of pupils’ spiritual, moral, social and cultural</w:t>
      </w:r>
      <w:r>
        <w:rPr>
          <w:spacing w:val="-2"/>
          <w:sz w:val="24"/>
        </w:rPr>
        <w:t> </w:t>
      </w:r>
      <w:r>
        <w:rPr>
          <w:sz w:val="24"/>
        </w:rPr>
        <w:t>(SMSC)</w:t>
      </w:r>
    </w:p>
    <w:p>
      <w:pPr>
        <w:pStyle w:val="ListParagraph"/>
        <w:numPr>
          <w:ilvl w:val="1"/>
          <w:numId w:val="13"/>
        </w:numPr>
        <w:tabs>
          <w:tab w:pos="1193" w:val="left" w:leader="none"/>
          <w:tab w:pos="1194" w:val="left" w:leader="none"/>
        </w:tabs>
        <w:spacing w:line="285" w:lineRule="auto" w:before="103" w:after="0"/>
        <w:ind w:left="1194" w:right="694" w:hanging="360"/>
        <w:jc w:val="left"/>
        <w:rPr>
          <w:sz w:val="24"/>
        </w:rPr>
      </w:pPr>
      <w:r>
        <w:rPr/>
        <w:pict>
          <v:rect style="position:absolute;margin-left:349.440002pt;margin-top:18.474464pt;width:3.36pt;height:.9pt;mso-position-horizontal-relative:page;mso-position-vertical-relative:paragraph;z-index:-255535104" filled="true" fillcolor="#000000" stroked="false">
            <v:fill type="solid"/>
            <w10:wrap type="none"/>
          </v:rect>
        </w:pict>
      </w:r>
      <w:hyperlink r:id="rId38">
        <w:r>
          <w:rPr>
            <w:color w:val="2B4FA2"/>
            <w:sz w:val="24"/>
            <w:u w:val="single" w:color="2B4FA2"/>
          </w:rPr>
          <w:t>SMSC requirements for independent schools</w:t>
        </w:r>
        <w:r>
          <w:rPr>
            <w:color w:val="2B4FA2"/>
            <w:sz w:val="24"/>
          </w:rPr>
          <w:t> </w:t>
        </w:r>
      </w:hyperlink>
      <w:r>
        <w:rPr>
          <w:sz w:val="24"/>
        </w:rPr>
        <w:t>(guidance for independent schools on how they should support pupils' spiritual, moral, social and cultural development).</w:t>
      </w:r>
    </w:p>
    <w:p>
      <w:pPr>
        <w:pStyle w:val="ListParagraph"/>
        <w:numPr>
          <w:ilvl w:val="1"/>
          <w:numId w:val="13"/>
        </w:numPr>
        <w:tabs>
          <w:tab w:pos="1193" w:val="left" w:leader="none"/>
          <w:tab w:pos="1194" w:val="left" w:leader="none"/>
        </w:tabs>
        <w:spacing w:line="240" w:lineRule="auto" w:before="105" w:after="0"/>
        <w:ind w:left="1194" w:right="0" w:hanging="360"/>
        <w:jc w:val="left"/>
        <w:rPr>
          <w:sz w:val="24"/>
        </w:rPr>
      </w:pPr>
      <w:hyperlink r:id="rId39">
        <w:r>
          <w:rPr>
            <w:color w:val="2B4FA2"/>
            <w:sz w:val="24"/>
            <w:u w:val="single" w:color="2B4FA2"/>
          </w:rPr>
          <w:t>National Citizen Service</w:t>
        </w:r>
        <w:r>
          <w:rPr>
            <w:color w:val="2B4FA2"/>
            <w:sz w:val="24"/>
          </w:rPr>
          <w:t> </w:t>
        </w:r>
      </w:hyperlink>
      <w:r>
        <w:rPr>
          <w:sz w:val="24"/>
        </w:rPr>
        <w:t>guidance for</w:t>
      </w:r>
      <w:r>
        <w:rPr>
          <w:spacing w:val="-1"/>
          <w:sz w:val="24"/>
        </w:rPr>
        <w:t> </w:t>
      </w:r>
      <w:r>
        <w:rPr>
          <w:sz w:val="24"/>
        </w:rPr>
        <w:t>schools</w:t>
      </w:r>
    </w:p>
    <w:p>
      <w:pPr>
        <w:spacing w:after="0" w:line="240" w:lineRule="auto"/>
        <w:jc w:val="left"/>
        <w:rPr>
          <w:sz w:val="24"/>
        </w:rPr>
        <w:sectPr>
          <w:pgSz w:w="11910" w:h="16840"/>
          <w:pgMar w:header="708" w:footer="783" w:top="980" w:bottom="980" w:left="1020" w:right="760"/>
        </w:sectPr>
      </w:pPr>
    </w:p>
    <w:p>
      <w:pPr>
        <w:pStyle w:val="Heading1"/>
      </w:pPr>
      <w:bookmarkStart w:name="Introduction" w:id="22"/>
      <w:bookmarkEnd w:id="22"/>
      <w:r>
        <w:rPr>
          <w:b w:val="0"/>
        </w:rPr>
      </w:r>
      <w:bookmarkStart w:name="_bookmark14" w:id="23"/>
      <w:bookmarkEnd w:id="23"/>
      <w:r>
        <w:rPr>
          <w:b w:val="0"/>
        </w:rPr>
      </w:r>
      <w:r>
        <w:rPr>
          <w:color w:val="02466C"/>
        </w:rPr>
        <w:t>Introduction</w:t>
      </w:r>
    </w:p>
    <w:p>
      <w:pPr>
        <w:pStyle w:val="ListParagraph"/>
        <w:numPr>
          <w:ilvl w:val="0"/>
          <w:numId w:val="14"/>
        </w:numPr>
        <w:tabs>
          <w:tab w:pos="833" w:val="left" w:leader="none"/>
          <w:tab w:pos="834" w:val="left" w:leader="none"/>
        </w:tabs>
        <w:spacing w:line="288" w:lineRule="auto" w:before="238" w:after="0"/>
        <w:ind w:left="113" w:right="673" w:firstLine="0"/>
        <w:jc w:val="left"/>
        <w:rPr>
          <w:sz w:val="24"/>
        </w:rPr>
      </w:pPr>
      <w:r>
        <w:rPr>
          <w:sz w:val="24"/>
        </w:rPr>
        <w:t>To embrace the challenges of creating a happy and successful adult life, pupils need knowledge that will enable them to make informed decisions about their wellbeing, health and relationships and to build their self-efficacy. Pupils can also put this knowledge into practice as they develop the capacity to make sound decisions when facing risks, challenges and complex contexts. Everyone faces difficult situations in their lives. These subjects can support young people to develop resilience, to know how and when to ask for help, and to know where to access</w:t>
      </w:r>
      <w:r>
        <w:rPr>
          <w:spacing w:val="-5"/>
          <w:sz w:val="24"/>
        </w:rPr>
        <w:t> </w:t>
      </w:r>
      <w:r>
        <w:rPr>
          <w:sz w:val="24"/>
        </w:rPr>
        <w:t>support.</w:t>
      </w:r>
    </w:p>
    <w:p>
      <w:pPr>
        <w:pStyle w:val="ListParagraph"/>
        <w:numPr>
          <w:ilvl w:val="0"/>
          <w:numId w:val="14"/>
        </w:numPr>
        <w:tabs>
          <w:tab w:pos="833" w:val="left" w:leader="none"/>
          <w:tab w:pos="834" w:val="left" w:leader="none"/>
        </w:tabs>
        <w:spacing w:line="288" w:lineRule="auto" w:before="220" w:after="0"/>
        <w:ind w:left="113" w:right="633" w:firstLine="0"/>
        <w:jc w:val="left"/>
        <w:rPr>
          <w:sz w:val="16"/>
        </w:rPr>
      </w:pPr>
      <w:r>
        <w:rPr>
          <w:sz w:val="24"/>
        </w:rPr>
        <w:t>High quality, evidence-based and age-appropriate teaching of these subjects can help prepare pupils for the opportunities, responsibilities and experiences of adult life. They can also enable schools to promote the spiritual, moral, social, cultural, mental and physical development of pupils, at school and in society. The duties on schools in this area are set out in legislation.</w:t>
      </w:r>
      <w:r>
        <w:rPr>
          <w:position w:val="8"/>
          <w:sz w:val="16"/>
        </w:rPr>
        <w:t>3</w:t>
      </w:r>
    </w:p>
    <w:p>
      <w:pPr>
        <w:pStyle w:val="ListParagraph"/>
        <w:numPr>
          <w:ilvl w:val="0"/>
          <w:numId w:val="14"/>
        </w:numPr>
        <w:tabs>
          <w:tab w:pos="833" w:val="left" w:leader="none"/>
          <w:tab w:pos="834" w:val="left" w:leader="none"/>
        </w:tabs>
        <w:spacing w:line="288" w:lineRule="auto" w:before="215" w:after="0"/>
        <w:ind w:left="113" w:right="659" w:firstLine="0"/>
        <w:jc w:val="left"/>
        <w:rPr>
          <w:sz w:val="24"/>
        </w:rPr>
      </w:pPr>
      <w:r>
        <w:rPr>
          <w:sz w:val="24"/>
        </w:rPr>
        <w:t>The Relationships Education, Relationships and Sex Education and Health Education (England) Regulations 2019, made under sections 34 and 35 of the Children and Social Work Act 2017, make Relationships Education compulsory for all pupils receiving primary education and Relationships and Sex Education (RSE) compulsory for all pupils receiving secondary education.</w:t>
      </w:r>
      <w:r>
        <w:rPr>
          <w:position w:val="8"/>
          <w:sz w:val="16"/>
        </w:rPr>
        <w:t>4 </w:t>
      </w:r>
      <w:r>
        <w:rPr>
          <w:sz w:val="24"/>
        </w:rPr>
        <w:t>They also make Health Education compulsory in all schools except independent schools. Personal, Social, Health and Economic Education (PSHE) continues to be compulsory in independent</w:t>
      </w:r>
      <w:r>
        <w:rPr>
          <w:spacing w:val="-6"/>
          <w:sz w:val="24"/>
        </w:rPr>
        <w:t> </w:t>
      </w:r>
      <w:r>
        <w:rPr>
          <w:sz w:val="24"/>
        </w:rPr>
        <w:t>schools.</w:t>
      </w:r>
    </w:p>
    <w:p>
      <w:pPr>
        <w:pStyle w:val="ListParagraph"/>
        <w:numPr>
          <w:ilvl w:val="0"/>
          <w:numId w:val="14"/>
        </w:numPr>
        <w:tabs>
          <w:tab w:pos="833" w:val="left" w:leader="none"/>
          <w:tab w:pos="834" w:val="left" w:leader="none"/>
        </w:tabs>
        <w:spacing w:line="288" w:lineRule="auto" w:before="211" w:after="0"/>
        <w:ind w:left="113" w:right="725" w:firstLine="0"/>
        <w:jc w:val="left"/>
        <w:rPr>
          <w:sz w:val="24"/>
        </w:rPr>
      </w:pPr>
      <w:r>
        <w:rPr>
          <w:sz w:val="24"/>
        </w:rPr>
        <w:t>This guidance also sets out both the rights of parents/carers</w:t>
      </w:r>
      <w:r>
        <w:rPr>
          <w:position w:val="8"/>
          <w:sz w:val="16"/>
        </w:rPr>
        <w:t>5 </w:t>
      </w:r>
      <w:r>
        <w:rPr>
          <w:sz w:val="24"/>
        </w:rPr>
        <w:t>to withdraw pupils from sex education (but not Relationships or Health Education) and the process that head teachers should follow in considering a request from a parent. Parents have the right to request that their child be withdrawn from some or all of sex education delivered as part of statutory</w:t>
      </w:r>
      <w:r>
        <w:rPr>
          <w:spacing w:val="-1"/>
          <w:sz w:val="24"/>
        </w:rPr>
        <w:t> </w:t>
      </w:r>
      <w:r>
        <w:rPr>
          <w:sz w:val="24"/>
        </w:rPr>
        <w:t>RSE.</w:t>
      </w:r>
    </w:p>
    <w:p>
      <w:pPr>
        <w:pStyle w:val="ListParagraph"/>
        <w:numPr>
          <w:ilvl w:val="0"/>
          <w:numId w:val="14"/>
        </w:numPr>
        <w:tabs>
          <w:tab w:pos="833" w:val="left" w:leader="none"/>
          <w:tab w:pos="834" w:val="left" w:leader="none"/>
        </w:tabs>
        <w:spacing w:line="288" w:lineRule="auto" w:before="220" w:after="0"/>
        <w:ind w:left="113" w:right="632" w:firstLine="0"/>
        <w:jc w:val="left"/>
        <w:rPr>
          <w:sz w:val="24"/>
        </w:rPr>
      </w:pPr>
      <w:r>
        <w:rPr>
          <w:sz w:val="24"/>
        </w:rPr>
        <w:t>Schools are free to determine how to deliver the content set out in this guidance, in the context of a broad and balanced curriculum. Effective teaching in these subjects will ensure that core knowledge is broken down into units of manageable size and communicated clearly to pupils, in a carefully sequenced way, within a planned programme or lessons. Teaching will include sufficient well-chosen opportunities and contexts for pupils to embed new knowledge so that it can be used confidently in real life situations.</w:t>
      </w:r>
    </w:p>
    <w:p>
      <w:pPr>
        <w:pStyle w:val="BodyText"/>
        <w:rPr>
          <w:sz w:val="20"/>
        </w:rPr>
      </w:pPr>
    </w:p>
    <w:p>
      <w:pPr>
        <w:pStyle w:val="BodyText"/>
        <w:spacing w:before="4"/>
        <w:rPr>
          <w:sz w:val="18"/>
        </w:rPr>
      </w:pPr>
      <w:r>
        <w:rPr/>
        <w:pict>
          <v:shape style="position:absolute;margin-left:56.700001pt;margin-top:12.842188pt;width:144pt;height:.1pt;mso-position-horizontal-relative:page;mso-position-vertical-relative:paragraph;z-index:-251651072;mso-wrap-distance-left:0;mso-wrap-distance-right:0" coordorigin="1134,257" coordsize="2880,0" path="m1134,257l4014,257e" filled="false" stroked="true" strokeweight=".6pt" strokecolor="#000000">
            <v:path arrowok="t"/>
            <v:stroke dashstyle="solid"/>
            <w10:wrap type="topAndBottom"/>
          </v:shape>
        </w:pict>
      </w:r>
    </w:p>
    <w:p>
      <w:pPr>
        <w:pStyle w:val="BodyText"/>
        <w:spacing w:before="7"/>
        <w:rPr>
          <w:sz w:val="16"/>
        </w:rPr>
      </w:pPr>
    </w:p>
    <w:p>
      <w:pPr>
        <w:spacing w:before="98"/>
        <w:ind w:left="114" w:right="641" w:hanging="1"/>
        <w:jc w:val="left"/>
        <w:rPr>
          <w:sz w:val="18"/>
        </w:rPr>
      </w:pPr>
      <w:r>
        <w:rPr>
          <w:position w:val="6"/>
          <w:sz w:val="12"/>
        </w:rPr>
        <w:t>3 </w:t>
      </w:r>
      <w:r>
        <w:rPr>
          <w:sz w:val="18"/>
        </w:rPr>
        <w:t>Maintained schools and academies are required to provide a curriculum, which is broad and balanced in accordance with Section 78 of the Education Act 2002. Part I of the Schedule to the Education (Independent School Standards) Regulations 2014 requires independent schools other than academies to make provision for PSHE (paragraph 2(2)(d)), and to prepare pupils for the opportunities, responsibilities and experiences of life in British society (paragraph 2(2)(i). Part 2 of the Schedule requires independent schools (including academies) to meet the standard relating to the Spiritual, Moral, Social and Cultural development of pupils.</w:t>
      </w:r>
    </w:p>
    <w:p>
      <w:pPr>
        <w:spacing w:line="240" w:lineRule="auto" w:before="0"/>
        <w:ind w:left="114" w:right="590" w:hanging="1"/>
        <w:jc w:val="left"/>
        <w:rPr>
          <w:sz w:val="18"/>
        </w:rPr>
      </w:pPr>
      <w:r>
        <w:rPr>
          <w:position w:val="6"/>
          <w:sz w:val="12"/>
        </w:rPr>
        <w:t>4 </w:t>
      </w:r>
      <w:r>
        <w:rPr>
          <w:sz w:val="18"/>
        </w:rPr>
        <w:t>For ease of reference, this guidance refers to primary schools and secondary schools, but the statutory requirements refer to pupils receiving primary/secondary education.</w:t>
      </w:r>
    </w:p>
    <w:p>
      <w:pPr>
        <w:spacing w:line="207" w:lineRule="exact" w:before="0"/>
        <w:ind w:left="114" w:right="0" w:firstLine="0"/>
        <w:jc w:val="left"/>
        <w:rPr>
          <w:sz w:val="18"/>
        </w:rPr>
      </w:pPr>
      <w:r>
        <w:rPr>
          <w:position w:val="6"/>
          <w:sz w:val="12"/>
        </w:rPr>
        <w:t>5 </w:t>
      </w:r>
      <w:r>
        <w:rPr>
          <w:sz w:val="18"/>
        </w:rPr>
        <w:t>Parents used henceforth to mean both parents and carers.</w:t>
      </w:r>
    </w:p>
    <w:p>
      <w:pPr>
        <w:spacing w:after="0" w:line="207" w:lineRule="exact"/>
        <w:jc w:val="left"/>
        <w:rPr>
          <w:sz w:val="18"/>
        </w:rPr>
        <w:sectPr>
          <w:pgSz w:w="11910" w:h="16840"/>
          <w:pgMar w:header="708" w:footer="783" w:top="980" w:bottom="980" w:left="1020" w:right="760"/>
        </w:sectPr>
      </w:pPr>
    </w:p>
    <w:p>
      <w:pPr>
        <w:pStyle w:val="ListParagraph"/>
        <w:numPr>
          <w:ilvl w:val="0"/>
          <w:numId w:val="14"/>
        </w:numPr>
        <w:tabs>
          <w:tab w:pos="833" w:val="left" w:leader="none"/>
          <w:tab w:pos="834" w:val="left" w:leader="none"/>
        </w:tabs>
        <w:spacing w:line="288" w:lineRule="auto" w:before="138" w:after="0"/>
        <w:ind w:left="114" w:right="831" w:firstLine="0"/>
        <w:jc w:val="left"/>
        <w:rPr>
          <w:sz w:val="24"/>
        </w:rPr>
      </w:pPr>
      <w:r>
        <w:rPr>
          <w:sz w:val="24"/>
        </w:rPr>
        <w:t>Many schools are choosing to deliver relationships or sex education as part of a timetabled PSHE programme, with good outcomes. Where that provision meets the requirements of this high level framework of core content they are free to continue with this model. Other schools may choose different curricular models for</w:t>
      </w:r>
      <w:r>
        <w:rPr>
          <w:spacing w:val="-12"/>
          <w:sz w:val="24"/>
        </w:rPr>
        <w:t> </w:t>
      </w:r>
      <w:r>
        <w:rPr>
          <w:sz w:val="24"/>
        </w:rPr>
        <w:t>delivery.</w:t>
      </w:r>
    </w:p>
    <w:p>
      <w:pPr>
        <w:pStyle w:val="ListParagraph"/>
        <w:numPr>
          <w:ilvl w:val="0"/>
          <w:numId w:val="14"/>
        </w:numPr>
        <w:tabs>
          <w:tab w:pos="833" w:val="left" w:leader="none"/>
          <w:tab w:pos="834" w:val="left" w:leader="none"/>
        </w:tabs>
        <w:spacing w:line="288" w:lineRule="auto" w:before="220" w:after="0"/>
        <w:ind w:left="114" w:right="622" w:firstLine="0"/>
        <w:jc w:val="left"/>
        <w:rPr>
          <w:sz w:val="24"/>
        </w:rPr>
      </w:pPr>
      <w:r>
        <w:rPr>
          <w:sz w:val="24"/>
        </w:rPr>
        <w:t>The lead teacher will need to work closely with colleagues in related curriculum areas to ensure Relationships Education, RSE and Health Education programmes complement, and do not duplicate, content covered in national curriculum</w:t>
      </w:r>
      <w:r>
        <w:rPr>
          <w:position w:val="8"/>
          <w:sz w:val="16"/>
        </w:rPr>
        <w:t>6 </w:t>
      </w:r>
      <w:r>
        <w:rPr>
          <w:sz w:val="24"/>
        </w:rPr>
        <w:t>subjects such as citizenship, science, computing and PE. It is important to check prior knowledge and build this into the planning process to ensure a smooth transition between primary and secondary. Further information on links to national curriculum subjects can be found on page</w:t>
      </w:r>
      <w:r>
        <w:rPr>
          <w:spacing w:val="-1"/>
          <w:sz w:val="24"/>
        </w:rPr>
        <w:t> </w:t>
      </w:r>
      <w:r>
        <w:rPr>
          <w:sz w:val="24"/>
        </w:rPr>
        <w:t>39.</w:t>
      </w:r>
    </w:p>
    <w:p>
      <w:pPr>
        <w:pStyle w:val="ListParagraph"/>
        <w:numPr>
          <w:ilvl w:val="0"/>
          <w:numId w:val="14"/>
        </w:numPr>
        <w:tabs>
          <w:tab w:pos="833" w:val="left" w:leader="none"/>
          <w:tab w:pos="834" w:val="left" w:leader="none"/>
        </w:tabs>
        <w:spacing w:line="288" w:lineRule="auto" w:before="215" w:after="0"/>
        <w:ind w:left="114" w:right="568" w:firstLine="0"/>
        <w:jc w:val="left"/>
        <w:rPr>
          <w:sz w:val="24"/>
        </w:rPr>
      </w:pPr>
      <w:r>
        <w:rPr>
          <w:sz w:val="24"/>
        </w:rPr>
        <w:t>Schools should be aware that for many young people the distinction between the online world and other aspects of life is less marked than for some adults. Young people often operate very freely in the online world and by secondary school age some are likely to be spending a substantial amount of time online. Where topics and issues outlined in this guidance are likely to be encountered by pupils online, schools should take this into account when planning how to support them in distinguishing between different types of online content and making well-founded</w:t>
      </w:r>
      <w:r>
        <w:rPr>
          <w:spacing w:val="-1"/>
          <w:sz w:val="24"/>
        </w:rPr>
        <w:t> </w:t>
      </w:r>
      <w:r>
        <w:rPr>
          <w:sz w:val="24"/>
        </w:rPr>
        <w:t>decisions.</w:t>
      </w:r>
    </w:p>
    <w:p>
      <w:pPr>
        <w:pStyle w:val="ListParagraph"/>
        <w:numPr>
          <w:ilvl w:val="0"/>
          <w:numId w:val="14"/>
        </w:numPr>
        <w:tabs>
          <w:tab w:pos="833" w:val="left" w:leader="none"/>
          <w:tab w:pos="834" w:val="left" w:leader="none"/>
        </w:tabs>
        <w:spacing w:line="288" w:lineRule="auto" w:before="221" w:after="0"/>
        <w:ind w:left="114" w:right="819" w:firstLine="0"/>
        <w:jc w:val="left"/>
        <w:rPr>
          <w:sz w:val="24"/>
        </w:rPr>
      </w:pPr>
      <w:r>
        <w:rPr>
          <w:sz w:val="24"/>
        </w:rPr>
        <w:t>More broadly, the internet and social media have other important characteristics which young people should be aware of in order to help them use</w:t>
      </w:r>
      <w:r>
        <w:rPr>
          <w:spacing w:val="-9"/>
          <w:sz w:val="24"/>
        </w:rPr>
        <w:t> </w:t>
      </w:r>
      <w:r>
        <w:rPr>
          <w:sz w:val="24"/>
        </w:rPr>
        <w:t>them</w:t>
      </w:r>
    </w:p>
    <w:p>
      <w:pPr>
        <w:pStyle w:val="BodyText"/>
        <w:spacing w:line="288" w:lineRule="auto"/>
        <w:ind w:left="114" w:right="590"/>
      </w:pPr>
      <w:r>
        <w:rPr/>
        <w:t>discriminatingly. For example, social media users are sometimes prepared to say things in more extreme, unkind or exaggerated ways than they might in face to face situations, and some users present highly exaggerated or idealised profiles of themselves online.</w:t>
      </w:r>
    </w:p>
    <w:p>
      <w:pPr>
        <w:pStyle w:val="BodyText"/>
        <w:spacing w:line="288" w:lineRule="auto"/>
        <w:ind w:left="114" w:right="577"/>
      </w:pPr>
      <w:r>
        <w:rPr/>
        <w:t>Some platforms attract large numbers of users with similar, sometimes extreme, views, who do not welcome dissent or debate. Young people should be aware that certain websites may share personal data about their users, and information collected on their internet use, for commercial purposes (i.e. to enable targeted advertising). In addition, criminals can operate online scams, for example using fake websites or emails to extort money or valuable personal information. This information can be used to the detriment of the person or wider society. Schools should take these factors into account when planning teaching of these subjects and consider the overlap with their wider curriculum to ensure pupils know how to keep themselves and their personal information safe.</w:t>
      </w:r>
    </w:p>
    <w:p>
      <w:pPr>
        <w:pStyle w:val="ListParagraph"/>
        <w:numPr>
          <w:ilvl w:val="0"/>
          <w:numId w:val="14"/>
        </w:numPr>
        <w:tabs>
          <w:tab w:pos="833" w:val="left" w:leader="none"/>
          <w:tab w:pos="834" w:val="left" w:leader="none"/>
        </w:tabs>
        <w:spacing w:line="288" w:lineRule="auto" w:before="220" w:after="0"/>
        <w:ind w:left="114" w:right="566" w:firstLine="0"/>
        <w:jc w:val="left"/>
        <w:rPr>
          <w:sz w:val="24"/>
        </w:rPr>
      </w:pPr>
      <w:r>
        <w:rPr>
          <w:sz w:val="24"/>
        </w:rPr>
        <w:t>In this guidance where topics occur equally on and offline they are accommodated in the core content under the most applicable theme with the assumption that teachers will deliver them in a way that reflects that pupils will be negotiating issues and opportunities in these areas in all contexts, including online. Where there are topics with exclusively online content or implications this is drawn out</w:t>
      </w:r>
      <w:r>
        <w:rPr>
          <w:spacing w:val="-4"/>
          <w:sz w:val="24"/>
        </w:rPr>
        <w:t> </w:t>
      </w:r>
      <w:r>
        <w:rPr>
          <w:sz w:val="24"/>
        </w:rPr>
        <w:t>explicitly.</w:t>
      </w:r>
    </w:p>
    <w:p>
      <w:pPr>
        <w:pStyle w:val="BodyText"/>
        <w:rPr>
          <w:sz w:val="20"/>
        </w:rPr>
      </w:pPr>
    </w:p>
    <w:p>
      <w:pPr>
        <w:pStyle w:val="BodyText"/>
        <w:rPr>
          <w:sz w:val="20"/>
        </w:rPr>
      </w:pPr>
    </w:p>
    <w:p>
      <w:pPr>
        <w:pStyle w:val="BodyText"/>
        <w:spacing w:before="5"/>
        <w:rPr>
          <w:sz w:val="26"/>
        </w:rPr>
      </w:pPr>
      <w:r>
        <w:rPr/>
        <w:pict>
          <v:shape style="position:absolute;margin-left:56.700001pt;margin-top:17.485937pt;width:144pt;height:.1pt;mso-position-horizontal-relative:page;mso-position-vertical-relative:paragraph;z-index:-251650048;mso-wrap-distance-left:0;mso-wrap-distance-right:0" coordorigin="1134,350" coordsize="2880,0" path="m1134,350l4014,350e" filled="false" stroked="true" strokeweight=".6pt" strokecolor="#000000">
            <v:path arrowok="t"/>
            <v:stroke dashstyle="solid"/>
            <w10:wrap type="topAndBottom"/>
          </v:shape>
        </w:pict>
      </w:r>
    </w:p>
    <w:p>
      <w:pPr>
        <w:pStyle w:val="BodyText"/>
        <w:spacing w:before="7"/>
        <w:rPr>
          <w:sz w:val="16"/>
        </w:rPr>
      </w:pPr>
    </w:p>
    <w:p>
      <w:pPr>
        <w:spacing w:before="98"/>
        <w:ind w:left="114" w:right="0" w:firstLine="0"/>
        <w:jc w:val="left"/>
        <w:rPr>
          <w:sz w:val="18"/>
        </w:rPr>
      </w:pPr>
      <w:r>
        <w:rPr>
          <w:position w:val="6"/>
          <w:sz w:val="12"/>
        </w:rPr>
        <w:t>6 </w:t>
      </w:r>
      <w:r>
        <w:rPr>
          <w:sz w:val="18"/>
        </w:rPr>
        <w:t>The national curriculum does not apply to academies or independent schools.</w:t>
      </w:r>
    </w:p>
    <w:p>
      <w:pPr>
        <w:spacing w:after="0"/>
        <w:jc w:val="left"/>
        <w:rPr>
          <w:sz w:val="18"/>
        </w:rPr>
        <w:sectPr>
          <w:pgSz w:w="11910" w:h="16840"/>
          <w:pgMar w:header="708" w:footer="783" w:top="980" w:bottom="980" w:left="1020" w:right="760"/>
        </w:sectPr>
      </w:pPr>
    </w:p>
    <w:p>
      <w:pPr>
        <w:pStyle w:val="Heading2"/>
        <w:spacing w:before="139"/>
      </w:pPr>
      <w:bookmarkStart w:name="Summary of requirements" w:id="24"/>
      <w:bookmarkEnd w:id="24"/>
      <w:r>
        <w:rPr>
          <w:b w:val="0"/>
        </w:rPr>
      </w:r>
      <w:bookmarkStart w:name="_bookmark15" w:id="25"/>
      <w:bookmarkEnd w:id="25"/>
      <w:r>
        <w:rPr>
          <w:b w:val="0"/>
        </w:rPr>
      </w:r>
      <w:r>
        <w:rPr>
          <w:color w:val="02466C"/>
        </w:rPr>
        <w:t>Summary of requirements</w:t>
      </w:r>
    </w:p>
    <w:p>
      <w:pPr>
        <w:pStyle w:val="ListParagraph"/>
        <w:numPr>
          <w:ilvl w:val="0"/>
          <w:numId w:val="14"/>
        </w:numPr>
        <w:tabs>
          <w:tab w:pos="833" w:val="left" w:leader="none"/>
          <w:tab w:pos="834" w:val="left" w:leader="none"/>
        </w:tabs>
        <w:spacing w:line="288" w:lineRule="auto" w:before="240" w:after="0"/>
        <w:ind w:left="113" w:right="526" w:firstLine="0"/>
        <w:jc w:val="left"/>
        <w:rPr>
          <w:sz w:val="24"/>
        </w:rPr>
      </w:pPr>
      <w:r>
        <w:rPr>
          <w:sz w:val="24"/>
        </w:rPr>
        <w:t>The subjects are part of the basic school curriculum (as previously for sex education in maintained secondary schools), which allows schools flexibility in developing their planned programme, integrated within a broad and balanced</w:t>
      </w:r>
      <w:r>
        <w:rPr>
          <w:spacing w:val="-10"/>
          <w:sz w:val="24"/>
        </w:rPr>
        <w:t> </w:t>
      </w:r>
      <w:r>
        <w:rPr>
          <w:sz w:val="24"/>
        </w:rPr>
        <w:t>curriculum.</w:t>
      </w:r>
    </w:p>
    <w:p>
      <w:pPr>
        <w:pStyle w:val="ListParagraph"/>
        <w:numPr>
          <w:ilvl w:val="0"/>
          <w:numId w:val="14"/>
        </w:numPr>
        <w:tabs>
          <w:tab w:pos="833" w:val="left" w:leader="none"/>
          <w:tab w:pos="834" w:val="left" w:leader="none"/>
        </w:tabs>
        <w:spacing w:line="240" w:lineRule="auto" w:before="240" w:after="0"/>
        <w:ind w:left="834" w:right="0" w:hanging="721"/>
        <w:jc w:val="left"/>
        <w:rPr>
          <w:sz w:val="24"/>
        </w:rPr>
      </w:pPr>
      <w:r>
        <w:rPr>
          <w:sz w:val="24"/>
        </w:rPr>
        <w:t>The guidance applies</w:t>
      </w:r>
      <w:r>
        <w:rPr>
          <w:spacing w:val="-1"/>
          <w:sz w:val="24"/>
        </w:rPr>
        <w:t> </w:t>
      </w:r>
      <w:r>
        <w:rPr>
          <w:sz w:val="24"/>
        </w:rPr>
        <w:t>to:</w:t>
      </w:r>
    </w:p>
    <w:p>
      <w:pPr>
        <w:pStyle w:val="BodyText"/>
        <w:spacing w:before="9"/>
        <w:rPr>
          <w:sz w:val="25"/>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5"/>
        <w:gridCol w:w="2936"/>
        <w:gridCol w:w="4088"/>
      </w:tblGrid>
      <w:tr>
        <w:trPr>
          <w:trHeight w:val="902" w:hRule="atLeast"/>
        </w:trPr>
        <w:tc>
          <w:tcPr>
            <w:tcW w:w="2875" w:type="dxa"/>
            <w:shd w:val="clear" w:color="auto" w:fill="CEDBE2"/>
          </w:tcPr>
          <w:p>
            <w:pPr>
              <w:pStyle w:val="TableParagraph"/>
              <w:spacing w:line="288" w:lineRule="auto"/>
              <w:ind w:left="107" w:right="1164"/>
              <w:rPr>
                <w:b/>
                <w:sz w:val="24"/>
              </w:rPr>
            </w:pPr>
            <w:r>
              <w:rPr>
                <w:b/>
                <w:sz w:val="24"/>
              </w:rPr>
              <w:t>Relationships Education</w:t>
            </w:r>
          </w:p>
        </w:tc>
        <w:tc>
          <w:tcPr>
            <w:tcW w:w="2936" w:type="dxa"/>
            <w:shd w:val="clear" w:color="auto" w:fill="CEDBE2"/>
          </w:tcPr>
          <w:p>
            <w:pPr>
              <w:pStyle w:val="TableParagraph"/>
              <w:spacing w:line="288" w:lineRule="auto"/>
              <w:ind w:left="108" w:right="237"/>
              <w:rPr>
                <w:b/>
                <w:sz w:val="24"/>
              </w:rPr>
            </w:pPr>
            <w:r>
              <w:rPr>
                <w:b/>
                <w:sz w:val="24"/>
              </w:rPr>
              <w:t>Relationships and Sex Education</w:t>
            </w:r>
          </w:p>
        </w:tc>
        <w:tc>
          <w:tcPr>
            <w:tcW w:w="4088" w:type="dxa"/>
            <w:shd w:val="clear" w:color="auto" w:fill="CEDBE2"/>
          </w:tcPr>
          <w:p>
            <w:pPr>
              <w:pStyle w:val="TableParagraph"/>
              <w:spacing w:line="275" w:lineRule="exact"/>
              <w:ind w:left="108"/>
              <w:rPr>
                <w:b/>
                <w:sz w:val="24"/>
              </w:rPr>
            </w:pPr>
            <w:r>
              <w:rPr>
                <w:b/>
                <w:sz w:val="24"/>
              </w:rPr>
              <w:t>Health Education</w:t>
            </w:r>
          </w:p>
        </w:tc>
      </w:tr>
      <w:tr>
        <w:trPr>
          <w:trHeight w:val="2557" w:hRule="atLeast"/>
        </w:trPr>
        <w:tc>
          <w:tcPr>
            <w:tcW w:w="2875" w:type="dxa"/>
          </w:tcPr>
          <w:p>
            <w:pPr>
              <w:pStyle w:val="TableParagraph"/>
              <w:spacing w:line="288" w:lineRule="auto"/>
              <w:ind w:left="107" w:right="163"/>
              <w:rPr>
                <w:sz w:val="24"/>
              </w:rPr>
            </w:pPr>
            <w:r>
              <w:rPr>
                <w:sz w:val="24"/>
              </w:rPr>
              <w:t>All schools providing primary education, including all-through schools and middle schools (includes schools as set out in the Summary section).</w:t>
            </w:r>
          </w:p>
        </w:tc>
        <w:tc>
          <w:tcPr>
            <w:tcW w:w="2936" w:type="dxa"/>
          </w:tcPr>
          <w:p>
            <w:pPr>
              <w:pStyle w:val="TableParagraph"/>
              <w:spacing w:line="288" w:lineRule="auto"/>
              <w:ind w:left="107" w:right="224"/>
              <w:rPr>
                <w:sz w:val="24"/>
              </w:rPr>
            </w:pPr>
            <w:r>
              <w:rPr>
                <w:sz w:val="24"/>
              </w:rPr>
              <w:t>All schools providing secondary education, including all-through schools and middle schools (includes schools as set out in the Summary section).</w:t>
            </w:r>
          </w:p>
        </w:tc>
        <w:tc>
          <w:tcPr>
            <w:tcW w:w="4088" w:type="dxa"/>
          </w:tcPr>
          <w:p>
            <w:pPr>
              <w:pStyle w:val="TableParagraph"/>
              <w:spacing w:line="288" w:lineRule="auto"/>
              <w:ind w:left="108" w:right="161"/>
              <w:rPr>
                <w:sz w:val="24"/>
              </w:rPr>
            </w:pPr>
            <w:r>
              <w:rPr>
                <w:sz w:val="24"/>
              </w:rPr>
              <w:t>All maintained schools including schools with a sixth form, academies, free schools, non- maintained special schools and alternative provision, including pupil referral units.</w:t>
            </w:r>
          </w:p>
        </w:tc>
      </w:tr>
      <w:tr>
        <w:trPr>
          <w:trHeight w:val="4545" w:hRule="atLeast"/>
        </w:trPr>
        <w:tc>
          <w:tcPr>
            <w:tcW w:w="2875" w:type="dxa"/>
          </w:tcPr>
          <w:p>
            <w:pPr>
              <w:pStyle w:val="TableParagraph"/>
              <w:ind w:left="0"/>
              <w:rPr>
                <w:rFonts w:ascii="Times New Roman"/>
                <w:sz w:val="22"/>
              </w:rPr>
            </w:pPr>
          </w:p>
        </w:tc>
        <w:tc>
          <w:tcPr>
            <w:tcW w:w="2936" w:type="dxa"/>
          </w:tcPr>
          <w:p>
            <w:pPr>
              <w:pStyle w:val="TableParagraph"/>
              <w:ind w:left="0"/>
              <w:rPr>
                <w:rFonts w:ascii="Times New Roman"/>
                <w:sz w:val="22"/>
              </w:rPr>
            </w:pPr>
          </w:p>
        </w:tc>
        <w:tc>
          <w:tcPr>
            <w:tcW w:w="4088" w:type="dxa"/>
          </w:tcPr>
          <w:p>
            <w:pPr>
              <w:pStyle w:val="TableParagraph"/>
              <w:spacing w:line="288" w:lineRule="auto"/>
              <w:ind w:left="108" w:right="81"/>
              <w:rPr>
                <w:sz w:val="24"/>
              </w:rPr>
            </w:pPr>
            <w:r>
              <w:rPr>
                <w:sz w:val="24"/>
              </w:rPr>
              <w:t>The statutory requirement to provide Health Education does not apply to independent schools – PSHE is already compulsory as independent schools must meet the Independent School Standards as set out in the Education (Independent School Standards) Regulations 2014.</w:t>
            </w:r>
          </w:p>
          <w:p>
            <w:pPr>
              <w:pStyle w:val="TableParagraph"/>
              <w:spacing w:line="288" w:lineRule="auto"/>
              <w:ind w:left="108" w:right="125"/>
              <w:rPr>
                <w:sz w:val="23"/>
              </w:rPr>
            </w:pPr>
            <w:r>
              <w:rPr>
                <w:sz w:val="24"/>
              </w:rPr>
              <w:t>Independent schools, however, may find the principles in the guidance on Health Education helpful in planning an age-appropriate curriculum</w:t>
            </w:r>
            <w:r>
              <w:rPr>
                <w:sz w:val="23"/>
              </w:rPr>
              <w:t>.</w:t>
            </w:r>
          </w:p>
        </w:tc>
      </w:tr>
      <w:tr>
        <w:trPr>
          <w:trHeight w:val="1565" w:hRule="atLeast"/>
        </w:trPr>
        <w:tc>
          <w:tcPr>
            <w:tcW w:w="9899" w:type="dxa"/>
            <w:gridSpan w:val="3"/>
          </w:tcPr>
          <w:p>
            <w:pPr>
              <w:pStyle w:val="TableParagraph"/>
              <w:spacing w:line="285" w:lineRule="auto"/>
              <w:ind w:left="107" w:right="104"/>
              <w:rPr>
                <w:sz w:val="24"/>
              </w:rPr>
            </w:pPr>
            <w:r>
              <w:rPr>
                <w:sz w:val="24"/>
              </w:rPr>
              <w:t>The statutory requirements do not apply to sixth form colleges, 16-19 academies or Further Education (FE) colleges</w:t>
            </w:r>
            <w:r>
              <w:rPr>
                <w:position w:val="8"/>
                <w:sz w:val="16"/>
              </w:rPr>
              <w:t>7</w:t>
            </w:r>
            <w:r>
              <w:rPr>
                <w:sz w:val="24"/>
              </w:rPr>
              <w:t>, although we would encourage them to support students by offering these subjects. These settings may find the principles helpful, especially in supporting pupils in the transition to FE.</w:t>
            </w:r>
          </w:p>
        </w:tc>
      </w:tr>
    </w:tbl>
    <w:p>
      <w:pPr>
        <w:pStyle w:val="BodyText"/>
        <w:spacing w:before="6"/>
        <w:rPr>
          <w:sz w:val="11"/>
        </w:rPr>
      </w:pPr>
      <w:r>
        <w:rPr/>
        <w:pict>
          <v:shape style="position:absolute;margin-left:56.700001pt;margin-top:8.880pt;width:144pt;height:.1pt;mso-position-horizontal-relative:page;mso-position-vertical-relative:paragraph;z-index:-251649024;mso-wrap-distance-left:0;mso-wrap-distance-right:0" coordorigin="1134,178" coordsize="2880,0" path="m1134,178l4014,178e" filled="false" stroked="true" strokeweight=".6pt" strokecolor="#000000">
            <v:path arrowok="t"/>
            <v:stroke dashstyle="solid"/>
            <w10:wrap type="topAndBottom"/>
          </v:shape>
        </w:pict>
      </w:r>
    </w:p>
    <w:p>
      <w:pPr>
        <w:pStyle w:val="BodyText"/>
        <w:spacing w:before="2"/>
        <w:rPr>
          <w:sz w:val="25"/>
        </w:rPr>
      </w:pPr>
    </w:p>
    <w:p>
      <w:pPr>
        <w:spacing w:line="288" w:lineRule="auto" w:before="1"/>
        <w:ind w:left="113" w:right="539" w:firstLine="0"/>
        <w:jc w:val="left"/>
        <w:rPr>
          <w:sz w:val="18"/>
        </w:rPr>
      </w:pPr>
      <w:r>
        <w:rPr>
          <w:position w:val="6"/>
          <w:sz w:val="12"/>
        </w:rPr>
        <w:t>7 </w:t>
      </w:r>
      <w:r>
        <w:rPr>
          <w:sz w:val="18"/>
        </w:rPr>
        <w:t>Sixth form colleges and other 16-19 institutions that provide education for 14-16-year olds under an agreement with the Department for Education or its agencies are required by that agreement to follow guidance which covers a number of areas including the curriculum. The current guidance sets out the need to include the teaching of sex and relationship education in accordance with sections 403 and 405 of the Education Act. From September 2020, these institutions will need to teach the new subjects of Relationships and Sex Education and Health Education and to follow this</w:t>
      </w:r>
      <w:r>
        <w:rPr>
          <w:spacing w:val="-1"/>
          <w:sz w:val="18"/>
        </w:rPr>
        <w:t> </w:t>
      </w:r>
      <w:r>
        <w:rPr>
          <w:sz w:val="18"/>
        </w:rPr>
        <w:t>guidance.</w:t>
      </w:r>
    </w:p>
    <w:p>
      <w:pPr>
        <w:spacing w:after="0" w:line="288" w:lineRule="auto"/>
        <w:jc w:val="left"/>
        <w:rPr>
          <w:sz w:val="18"/>
        </w:rPr>
        <w:sectPr>
          <w:pgSz w:w="11910" w:h="16840"/>
          <w:pgMar w:header="708" w:footer="783" w:top="980" w:bottom="980" w:left="1020" w:right="760"/>
        </w:sectPr>
      </w:pPr>
    </w:p>
    <w:p>
      <w:pPr>
        <w:pStyle w:val="Heading1"/>
      </w:pPr>
      <w:bookmarkStart w:name="Developing a policy" w:id="26"/>
      <w:bookmarkEnd w:id="26"/>
      <w:r>
        <w:rPr>
          <w:b w:val="0"/>
        </w:rPr>
      </w:r>
      <w:bookmarkStart w:name="_bookmark16" w:id="27"/>
      <w:bookmarkEnd w:id="27"/>
      <w:r>
        <w:rPr>
          <w:b w:val="0"/>
        </w:rPr>
      </w:r>
      <w:r>
        <w:rPr>
          <w:color w:val="02466C"/>
        </w:rPr>
        <w:t>Developing a policy</w:t>
      </w:r>
    </w:p>
    <w:p>
      <w:pPr>
        <w:pStyle w:val="ListParagraph"/>
        <w:numPr>
          <w:ilvl w:val="0"/>
          <w:numId w:val="14"/>
        </w:numPr>
        <w:tabs>
          <w:tab w:pos="833" w:val="left" w:leader="none"/>
          <w:tab w:pos="834" w:val="left" w:leader="none"/>
        </w:tabs>
        <w:spacing w:line="288" w:lineRule="auto" w:before="238" w:after="0"/>
        <w:ind w:left="113" w:right="967" w:firstLine="0"/>
        <w:jc w:val="left"/>
        <w:rPr>
          <w:sz w:val="24"/>
        </w:rPr>
      </w:pPr>
      <w:r>
        <w:rPr>
          <w:sz w:val="24"/>
        </w:rPr>
        <w:t>All schools must have in place a written policy for Relationships Education and RSE. Schools must consult parents in developing and reviewing their policy. Schools should ensure that the policy meets the needs of pupils and parents and reflects the community they</w:t>
      </w:r>
      <w:r>
        <w:rPr>
          <w:spacing w:val="-2"/>
          <w:sz w:val="24"/>
        </w:rPr>
        <w:t> </w:t>
      </w:r>
      <w:r>
        <w:rPr>
          <w:sz w:val="24"/>
        </w:rPr>
        <w:t>serve.</w:t>
      </w:r>
    </w:p>
    <w:p>
      <w:pPr>
        <w:pStyle w:val="ListParagraph"/>
        <w:numPr>
          <w:ilvl w:val="0"/>
          <w:numId w:val="14"/>
        </w:numPr>
        <w:tabs>
          <w:tab w:pos="833" w:val="left" w:leader="none"/>
          <w:tab w:pos="834" w:val="left" w:leader="none"/>
        </w:tabs>
        <w:spacing w:line="288" w:lineRule="auto" w:before="240" w:after="0"/>
        <w:ind w:left="113" w:right="671" w:firstLine="0"/>
        <w:jc w:val="left"/>
        <w:rPr>
          <w:sz w:val="24"/>
        </w:rPr>
      </w:pPr>
      <w:r>
        <w:rPr>
          <w:sz w:val="24"/>
        </w:rPr>
        <w:t>There are many excellent examples in which schools have established clear sex education policies in consultation with parents, governors and the wider community, and where they are already delivering effective programmes. Schools should build on that good work in adapting to these new</w:t>
      </w:r>
      <w:r>
        <w:rPr>
          <w:spacing w:val="-2"/>
          <w:sz w:val="24"/>
        </w:rPr>
        <w:t> </w:t>
      </w:r>
      <w:r>
        <w:rPr>
          <w:sz w:val="24"/>
        </w:rPr>
        <w:t>requirements.</w:t>
      </w:r>
    </w:p>
    <w:p>
      <w:pPr>
        <w:pStyle w:val="BodyText"/>
        <w:spacing w:before="11"/>
        <w:rPr>
          <w:sz w:val="41"/>
        </w:rPr>
      </w:pPr>
    </w:p>
    <w:p>
      <w:pPr>
        <w:pStyle w:val="Heading2"/>
        <w:spacing w:before="0"/>
      </w:pPr>
      <w:bookmarkStart w:name="What is required?" w:id="28"/>
      <w:bookmarkEnd w:id="28"/>
      <w:r>
        <w:rPr>
          <w:b w:val="0"/>
        </w:rPr>
      </w:r>
      <w:bookmarkStart w:name="_bookmark17" w:id="29"/>
      <w:bookmarkEnd w:id="29"/>
      <w:r>
        <w:rPr>
          <w:b w:val="0"/>
        </w:rPr>
      </w:r>
      <w:r>
        <w:rPr>
          <w:color w:val="02466C"/>
        </w:rPr>
        <w:t>What is required?</w:t>
      </w:r>
    </w:p>
    <w:p>
      <w:pPr>
        <w:pStyle w:val="ListParagraph"/>
        <w:numPr>
          <w:ilvl w:val="0"/>
          <w:numId w:val="14"/>
        </w:numPr>
        <w:tabs>
          <w:tab w:pos="833" w:val="left" w:leader="none"/>
          <w:tab w:pos="834" w:val="left" w:leader="none"/>
        </w:tabs>
        <w:spacing w:line="285" w:lineRule="auto" w:before="237" w:after="0"/>
        <w:ind w:left="113" w:right="527" w:firstLine="0"/>
        <w:jc w:val="left"/>
        <w:rPr>
          <w:sz w:val="24"/>
        </w:rPr>
      </w:pPr>
      <w:r>
        <w:rPr>
          <w:sz w:val="24"/>
        </w:rPr>
        <w:t>All schools must have an up-to-date policy, which is made available to parents and others. Schools must provide a copy of the policy free of charge to anyone who asks for one and should publish the policy on the school</w:t>
      </w:r>
      <w:r>
        <w:rPr>
          <w:spacing w:val="-3"/>
          <w:sz w:val="24"/>
        </w:rPr>
        <w:t> </w:t>
      </w:r>
      <w:r>
        <w:rPr>
          <w:sz w:val="24"/>
        </w:rPr>
        <w:t>website</w:t>
      </w:r>
      <w:r>
        <w:rPr>
          <w:position w:val="8"/>
          <w:sz w:val="16"/>
        </w:rPr>
        <w:t>8</w:t>
      </w:r>
      <w:r>
        <w:rPr>
          <w:sz w:val="24"/>
        </w:rPr>
        <w:t>.</w:t>
      </w:r>
    </w:p>
    <w:p>
      <w:pPr>
        <w:pStyle w:val="ListParagraph"/>
        <w:numPr>
          <w:ilvl w:val="0"/>
          <w:numId w:val="14"/>
        </w:numPr>
        <w:tabs>
          <w:tab w:pos="833" w:val="left" w:leader="none"/>
          <w:tab w:pos="834" w:val="left" w:leader="none"/>
        </w:tabs>
        <w:spacing w:line="240" w:lineRule="auto" w:before="244" w:after="0"/>
        <w:ind w:left="834" w:right="0" w:hanging="720"/>
        <w:jc w:val="left"/>
        <w:rPr>
          <w:sz w:val="24"/>
        </w:rPr>
      </w:pPr>
      <w:r>
        <w:rPr>
          <w:sz w:val="24"/>
        </w:rPr>
        <w:t>The policy should:</w:t>
      </w:r>
    </w:p>
    <w:p>
      <w:pPr>
        <w:pStyle w:val="BodyText"/>
        <w:spacing w:before="9"/>
        <w:rPr>
          <w:sz w:val="25"/>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5"/>
        <w:gridCol w:w="3660"/>
        <w:gridCol w:w="2978"/>
      </w:tblGrid>
      <w:tr>
        <w:trPr>
          <w:trHeight w:val="903" w:hRule="atLeast"/>
        </w:trPr>
        <w:tc>
          <w:tcPr>
            <w:tcW w:w="6805" w:type="dxa"/>
            <w:gridSpan w:val="2"/>
            <w:shd w:val="clear" w:color="auto" w:fill="CEDBE2"/>
          </w:tcPr>
          <w:p>
            <w:pPr>
              <w:pStyle w:val="TableParagraph"/>
              <w:ind w:left="1558"/>
              <w:rPr>
                <w:b/>
                <w:i/>
                <w:sz w:val="24"/>
              </w:rPr>
            </w:pPr>
            <w:r>
              <w:rPr>
                <w:b/>
                <w:i/>
                <w:sz w:val="24"/>
              </w:rPr>
              <w:t>Policies for mandatory subjects</w:t>
            </w:r>
          </w:p>
        </w:tc>
        <w:tc>
          <w:tcPr>
            <w:tcW w:w="2978" w:type="dxa"/>
            <w:shd w:val="clear" w:color="auto" w:fill="CEDBE2"/>
          </w:tcPr>
          <w:p>
            <w:pPr>
              <w:pStyle w:val="TableParagraph"/>
              <w:spacing w:line="288" w:lineRule="auto"/>
              <w:ind w:left="326" w:right="354" w:firstLine="292"/>
              <w:rPr>
                <w:b/>
                <w:i/>
                <w:sz w:val="24"/>
              </w:rPr>
            </w:pPr>
            <w:r>
              <w:rPr>
                <w:b/>
                <w:i/>
                <w:sz w:val="24"/>
              </w:rPr>
              <w:t>Policy for non- </w:t>
            </w:r>
            <w:r>
              <w:rPr>
                <w:b/>
                <w:i/>
                <w:sz w:val="24"/>
              </w:rPr>
              <w:t>mandatory subjects</w:t>
            </w:r>
          </w:p>
        </w:tc>
      </w:tr>
      <w:tr>
        <w:trPr>
          <w:trHeight w:val="1233" w:hRule="atLeast"/>
        </w:trPr>
        <w:tc>
          <w:tcPr>
            <w:tcW w:w="3145" w:type="dxa"/>
          </w:tcPr>
          <w:p>
            <w:pPr>
              <w:pStyle w:val="TableParagraph"/>
              <w:spacing w:line="309" w:lineRule="exact"/>
              <w:ind w:left="107"/>
              <w:rPr>
                <w:rFonts w:ascii="Segoe UI Symbol"/>
                <w:sz w:val="16"/>
              </w:rPr>
            </w:pPr>
            <w:r>
              <w:rPr>
                <w:b/>
                <w:sz w:val="24"/>
              </w:rPr>
              <w:t>For primary education</w:t>
            </w:r>
            <w:r>
              <w:rPr>
                <w:rFonts w:ascii="Segoe UI Symbol"/>
                <w:position w:val="9"/>
                <w:sz w:val="16"/>
              </w:rPr>
              <w:t>9</w:t>
            </w:r>
          </w:p>
        </w:tc>
        <w:tc>
          <w:tcPr>
            <w:tcW w:w="3660" w:type="dxa"/>
          </w:tcPr>
          <w:p>
            <w:pPr>
              <w:pStyle w:val="TableParagraph"/>
              <w:spacing w:line="275" w:lineRule="exact"/>
              <w:ind w:left="108"/>
              <w:rPr>
                <w:b/>
                <w:sz w:val="24"/>
              </w:rPr>
            </w:pPr>
            <w:r>
              <w:rPr>
                <w:b/>
                <w:sz w:val="24"/>
              </w:rPr>
              <w:t>For secondary education</w:t>
            </w:r>
          </w:p>
        </w:tc>
        <w:tc>
          <w:tcPr>
            <w:tcW w:w="2978" w:type="dxa"/>
            <w:shd w:val="clear" w:color="auto" w:fill="F9E3D0"/>
          </w:tcPr>
          <w:p>
            <w:pPr>
              <w:pStyle w:val="TableParagraph"/>
              <w:spacing w:line="288" w:lineRule="auto"/>
              <w:ind w:left="108" w:right="532"/>
              <w:rPr>
                <w:b/>
                <w:sz w:val="24"/>
              </w:rPr>
            </w:pPr>
            <w:r>
              <w:rPr>
                <w:b/>
                <w:sz w:val="24"/>
              </w:rPr>
              <w:t>For primary schools that may choose to teach sex education</w:t>
            </w:r>
          </w:p>
        </w:tc>
      </w:tr>
      <w:tr>
        <w:trPr>
          <w:trHeight w:val="1616" w:hRule="atLeast"/>
        </w:trPr>
        <w:tc>
          <w:tcPr>
            <w:tcW w:w="3145" w:type="dxa"/>
          </w:tcPr>
          <w:p>
            <w:pPr>
              <w:pStyle w:val="TableParagraph"/>
              <w:spacing w:line="288" w:lineRule="auto"/>
              <w:ind w:left="107" w:right="806"/>
              <w:rPr>
                <w:sz w:val="24"/>
              </w:rPr>
            </w:pPr>
            <w:r>
              <w:rPr>
                <w:sz w:val="24"/>
              </w:rPr>
              <w:t>Define Relationships Education</w:t>
            </w:r>
          </w:p>
        </w:tc>
        <w:tc>
          <w:tcPr>
            <w:tcW w:w="3660" w:type="dxa"/>
          </w:tcPr>
          <w:p>
            <w:pPr>
              <w:pStyle w:val="TableParagraph"/>
              <w:spacing w:line="288" w:lineRule="auto"/>
              <w:ind w:left="108" w:right="373"/>
              <w:rPr>
                <w:sz w:val="24"/>
              </w:rPr>
            </w:pPr>
            <w:r>
              <w:rPr>
                <w:sz w:val="24"/>
              </w:rPr>
              <w:t>Define Relationships and Sex Education</w:t>
            </w:r>
          </w:p>
        </w:tc>
        <w:tc>
          <w:tcPr>
            <w:tcW w:w="2978" w:type="dxa"/>
            <w:shd w:val="clear" w:color="auto" w:fill="F9E3D0"/>
          </w:tcPr>
          <w:p>
            <w:pPr>
              <w:pStyle w:val="TableParagraph"/>
              <w:spacing w:line="288" w:lineRule="auto"/>
              <w:ind w:left="108" w:right="162"/>
              <w:rPr>
                <w:rFonts w:ascii="Segoe UI Symbol"/>
                <w:sz w:val="24"/>
              </w:rPr>
            </w:pPr>
            <w:r>
              <w:rPr>
                <w:sz w:val="24"/>
              </w:rPr>
              <w:t>Define any sex education they choose to teach other than that covered in the science</w:t>
            </w:r>
            <w:r>
              <w:rPr>
                <w:spacing w:val="-8"/>
                <w:sz w:val="24"/>
              </w:rPr>
              <w:t> </w:t>
            </w:r>
            <w:r>
              <w:rPr>
                <w:sz w:val="24"/>
              </w:rPr>
              <w:t>curriculum</w:t>
            </w:r>
            <w:r>
              <w:rPr>
                <w:rFonts w:ascii="Segoe UI Symbol"/>
                <w:sz w:val="24"/>
              </w:rPr>
              <w:t>.</w:t>
            </w:r>
          </w:p>
        </w:tc>
      </w:tr>
      <w:tr>
        <w:trPr>
          <w:trHeight w:val="623" w:hRule="atLeast"/>
        </w:trPr>
        <w:tc>
          <w:tcPr>
            <w:tcW w:w="9783" w:type="dxa"/>
            <w:gridSpan w:val="3"/>
          </w:tcPr>
          <w:p>
            <w:pPr>
              <w:pStyle w:val="TableParagraph"/>
              <w:ind w:left="107"/>
              <w:rPr>
                <w:rFonts w:ascii="Segoe UI Symbol"/>
                <w:sz w:val="24"/>
              </w:rPr>
            </w:pPr>
            <w:r>
              <w:rPr>
                <w:sz w:val="24"/>
              </w:rPr>
              <w:t>Set out the subject content, how it is taught and who is responsible for teaching it</w:t>
            </w:r>
            <w:r>
              <w:rPr>
                <w:rFonts w:ascii="Segoe UI Symbol"/>
                <w:sz w:val="24"/>
              </w:rPr>
              <w:t>.</w:t>
            </w:r>
          </w:p>
        </w:tc>
      </w:tr>
      <w:tr>
        <w:trPr>
          <w:trHeight w:val="622" w:hRule="atLeast"/>
        </w:trPr>
        <w:tc>
          <w:tcPr>
            <w:tcW w:w="9783" w:type="dxa"/>
            <w:gridSpan w:val="3"/>
          </w:tcPr>
          <w:p>
            <w:pPr>
              <w:pStyle w:val="TableParagraph"/>
              <w:spacing w:line="318" w:lineRule="exact"/>
              <w:ind w:left="107"/>
              <w:rPr>
                <w:rFonts w:ascii="Segoe UI Symbol"/>
                <w:sz w:val="24"/>
              </w:rPr>
            </w:pPr>
            <w:r>
              <w:rPr>
                <w:sz w:val="24"/>
              </w:rPr>
              <w:t>Describe how the subject is monitored and evaluated</w:t>
            </w:r>
            <w:r>
              <w:rPr>
                <w:rFonts w:ascii="Segoe UI Symbol"/>
                <w:sz w:val="24"/>
              </w:rPr>
              <w:t>.</w:t>
            </w:r>
          </w:p>
        </w:tc>
      </w:tr>
      <w:tr>
        <w:trPr>
          <w:trHeight w:val="1565" w:hRule="atLeast"/>
        </w:trPr>
        <w:tc>
          <w:tcPr>
            <w:tcW w:w="3145" w:type="dxa"/>
          </w:tcPr>
          <w:p>
            <w:pPr>
              <w:pStyle w:val="TableParagraph"/>
              <w:spacing w:line="288" w:lineRule="auto"/>
              <w:ind w:left="107" w:right="286"/>
              <w:rPr>
                <w:sz w:val="24"/>
              </w:rPr>
            </w:pPr>
            <w:r>
              <w:rPr>
                <w:sz w:val="24"/>
              </w:rPr>
              <w:t>Include information to clarify why parents </w:t>
            </w:r>
            <w:r>
              <w:rPr>
                <w:i/>
                <w:sz w:val="24"/>
              </w:rPr>
              <w:t>do not </w:t>
            </w:r>
            <w:r>
              <w:rPr>
                <w:sz w:val="24"/>
              </w:rPr>
              <w:t>have a right to withdraw their child.</w:t>
            </w:r>
          </w:p>
        </w:tc>
        <w:tc>
          <w:tcPr>
            <w:tcW w:w="3660" w:type="dxa"/>
          </w:tcPr>
          <w:p>
            <w:pPr>
              <w:pStyle w:val="TableParagraph"/>
              <w:spacing w:line="288" w:lineRule="auto"/>
              <w:ind w:left="108" w:right="213"/>
              <w:rPr>
                <w:sz w:val="24"/>
              </w:rPr>
            </w:pPr>
            <w:r>
              <w:rPr>
                <w:sz w:val="24"/>
              </w:rPr>
              <w:t>Include information about a parent’s right to request that their child be excused from sex education within RSE only.</w:t>
            </w:r>
          </w:p>
        </w:tc>
        <w:tc>
          <w:tcPr>
            <w:tcW w:w="2978" w:type="dxa"/>
            <w:shd w:val="clear" w:color="auto" w:fill="F9E3D0"/>
          </w:tcPr>
          <w:p>
            <w:pPr>
              <w:pStyle w:val="TableParagraph"/>
              <w:spacing w:line="288" w:lineRule="auto"/>
              <w:ind w:left="108" w:right="162"/>
              <w:rPr>
                <w:sz w:val="24"/>
              </w:rPr>
            </w:pPr>
            <w:r>
              <w:rPr>
                <w:sz w:val="24"/>
              </w:rPr>
              <w:t>Include information about a parent’s right to request that their child be excused.</w:t>
            </w:r>
          </w:p>
        </w:tc>
      </w:tr>
    </w:tbl>
    <w:p>
      <w:pPr>
        <w:pStyle w:val="BodyText"/>
        <w:rPr>
          <w:sz w:val="20"/>
        </w:rPr>
      </w:pPr>
    </w:p>
    <w:p>
      <w:pPr>
        <w:pStyle w:val="BodyText"/>
        <w:spacing w:before="10"/>
        <w:rPr>
          <w:sz w:val="15"/>
        </w:rPr>
      </w:pPr>
      <w:r>
        <w:rPr/>
        <w:pict>
          <v:shape style="position:absolute;margin-left:56.700001pt;margin-top:11.420977pt;width:144pt;height:.1pt;mso-position-horizontal-relative:page;mso-position-vertical-relative:paragraph;z-index:-251648000;mso-wrap-distance-left:0;mso-wrap-distance-right:0" coordorigin="1134,228" coordsize="2880,0" path="m1134,228l4014,228e" filled="false" stroked="true" strokeweight=".6pt" strokecolor="#000000">
            <v:path arrowok="t"/>
            <v:stroke dashstyle="solid"/>
            <w10:wrap type="topAndBottom"/>
          </v:shape>
        </w:pict>
      </w:r>
    </w:p>
    <w:p>
      <w:pPr>
        <w:pStyle w:val="BodyText"/>
        <w:spacing w:before="1"/>
        <w:rPr>
          <w:sz w:val="25"/>
        </w:rPr>
      </w:pPr>
    </w:p>
    <w:p>
      <w:pPr>
        <w:spacing w:line="209" w:lineRule="exact" w:before="0"/>
        <w:ind w:left="114" w:right="0" w:firstLine="0"/>
        <w:jc w:val="left"/>
        <w:rPr>
          <w:sz w:val="18"/>
        </w:rPr>
      </w:pPr>
      <w:r>
        <w:rPr>
          <w:position w:val="6"/>
          <w:sz w:val="12"/>
        </w:rPr>
        <w:t>8 </w:t>
      </w:r>
      <w:r>
        <w:rPr>
          <w:sz w:val="18"/>
        </w:rPr>
        <w:t>If a school does not have a website, they should ensure that the policy is available by other means.</w:t>
      </w:r>
    </w:p>
    <w:p>
      <w:pPr>
        <w:spacing w:before="0"/>
        <w:ind w:left="113" w:right="687" w:firstLine="0"/>
        <w:jc w:val="left"/>
        <w:rPr>
          <w:sz w:val="18"/>
        </w:rPr>
      </w:pPr>
      <w:r>
        <w:rPr>
          <w:position w:val="6"/>
          <w:sz w:val="12"/>
        </w:rPr>
        <w:t>9 </w:t>
      </w:r>
      <w:r>
        <w:rPr>
          <w:sz w:val="18"/>
        </w:rPr>
        <w:t>The regulations apply to the teaching of all primary and secondary pupils respectively. This includes all types of schools to which the regulations apply.</w:t>
      </w:r>
    </w:p>
    <w:p>
      <w:pPr>
        <w:spacing w:after="0"/>
        <w:jc w:val="left"/>
        <w:rPr>
          <w:sz w:val="18"/>
        </w:rPr>
        <w:sectPr>
          <w:pgSz w:w="11910" w:h="16840"/>
          <w:pgMar w:header="708" w:footer="783" w:top="980" w:bottom="980" w:left="1020" w:right="760"/>
        </w:sectPr>
      </w:pPr>
    </w:p>
    <w:p>
      <w:pPr>
        <w:pStyle w:val="BodyText"/>
        <w:spacing w:before="2"/>
        <w:rPr>
          <w:sz w:val="1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84"/>
      </w:tblGrid>
      <w:tr>
        <w:trPr>
          <w:trHeight w:val="570" w:hRule="atLeast"/>
        </w:trPr>
        <w:tc>
          <w:tcPr>
            <w:tcW w:w="9784" w:type="dxa"/>
          </w:tcPr>
          <w:p>
            <w:pPr>
              <w:pStyle w:val="TableParagraph"/>
              <w:spacing w:line="274" w:lineRule="exact"/>
              <w:ind w:left="107"/>
              <w:rPr>
                <w:sz w:val="24"/>
              </w:rPr>
            </w:pPr>
            <w:r>
              <w:rPr>
                <w:sz w:val="24"/>
              </w:rPr>
              <w:t>Confirm the date by which the policy will be reviewed.</w:t>
            </w:r>
          </w:p>
        </w:tc>
      </w:tr>
      <w:tr>
        <w:trPr>
          <w:trHeight w:val="4973" w:hRule="atLeast"/>
        </w:trPr>
        <w:tc>
          <w:tcPr>
            <w:tcW w:w="9784" w:type="dxa"/>
          </w:tcPr>
          <w:p>
            <w:pPr>
              <w:pStyle w:val="TableParagraph"/>
              <w:ind w:left="107"/>
              <w:rPr>
                <w:b/>
                <w:sz w:val="24"/>
              </w:rPr>
            </w:pPr>
            <w:r>
              <w:rPr>
                <w:b/>
                <w:sz w:val="24"/>
              </w:rPr>
              <w:t>Typical policies are likely to include sections covering:</w:t>
            </w:r>
          </w:p>
          <w:p>
            <w:pPr>
              <w:pStyle w:val="TableParagraph"/>
              <w:spacing w:before="6"/>
              <w:ind w:left="0"/>
              <w:rPr>
                <w:sz w:val="25"/>
              </w:rPr>
            </w:pPr>
          </w:p>
          <w:p>
            <w:pPr>
              <w:pStyle w:val="TableParagraph"/>
              <w:numPr>
                <w:ilvl w:val="0"/>
                <w:numId w:val="15"/>
              </w:numPr>
              <w:tabs>
                <w:tab w:pos="827" w:val="left" w:leader="none"/>
                <w:tab w:pos="828" w:val="left" w:leader="none"/>
              </w:tabs>
              <w:spacing w:line="240" w:lineRule="auto" w:before="0" w:after="0"/>
              <w:ind w:left="827" w:right="192" w:hanging="360"/>
              <w:jc w:val="left"/>
              <w:rPr>
                <w:sz w:val="24"/>
              </w:rPr>
            </w:pPr>
            <w:r>
              <w:rPr>
                <w:sz w:val="24"/>
              </w:rPr>
              <w:t>details of content/scheme of work and when each topic is taught, taking account of the age of</w:t>
            </w:r>
            <w:r>
              <w:rPr>
                <w:spacing w:val="-2"/>
                <w:sz w:val="24"/>
              </w:rPr>
              <w:t> </w:t>
            </w:r>
            <w:r>
              <w:rPr>
                <w:sz w:val="24"/>
              </w:rPr>
              <w:t>pupils</w:t>
            </w:r>
          </w:p>
          <w:p>
            <w:pPr>
              <w:pStyle w:val="TableParagraph"/>
              <w:numPr>
                <w:ilvl w:val="0"/>
                <w:numId w:val="15"/>
              </w:numPr>
              <w:tabs>
                <w:tab w:pos="827" w:val="left" w:leader="none"/>
                <w:tab w:pos="828" w:val="left" w:leader="none"/>
              </w:tabs>
              <w:spacing w:line="240" w:lineRule="auto" w:before="118" w:after="0"/>
              <w:ind w:left="827" w:right="0" w:hanging="361"/>
              <w:jc w:val="left"/>
              <w:rPr>
                <w:sz w:val="24"/>
              </w:rPr>
            </w:pPr>
            <w:r>
              <w:rPr>
                <w:sz w:val="24"/>
              </w:rPr>
              <w:t>who delivers either Relationships Education or</w:t>
            </w:r>
            <w:r>
              <w:rPr>
                <w:spacing w:val="-1"/>
                <w:sz w:val="24"/>
              </w:rPr>
              <w:t> </w:t>
            </w:r>
            <w:r>
              <w:rPr>
                <w:sz w:val="24"/>
              </w:rPr>
              <w:t>RSE</w:t>
            </w:r>
          </w:p>
          <w:p>
            <w:pPr>
              <w:pStyle w:val="TableParagraph"/>
              <w:numPr>
                <w:ilvl w:val="0"/>
                <w:numId w:val="15"/>
              </w:numPr>
              <w:tabs>
                <w:tab w:pos="827" w:val="left" w:leader="none"/>
                <w:tab w:pos="828" w:val="left" w:leader="none"/>
              </w:tabs>
              <w:spacing w:line="240" w:lineRule="auto" w:before="118" w:after="0"/>
              <w:ind w:left="827" w:right="525" w:hanging="360"/>
              <w:jc w:val="left"/>
              <w:rPr>
                <w:sz w:val="24"/>
              </w:rPr>
            </w:pPr>
            <w:r>
              <w:rPr>
                <w:sz w:val="24"/>
              </w:rPr>
              <w:t>how the policy has been produced, and how it will be kept under review, in both cases working with</w:t>
            </w:r>
            <w:r>
              <w:rPr>
                <w:spacing w:val="-1"/>
                <w:sz w:val="24"/>
              </w:rPr>
              <w:t> </w:t>
            </w:r>
            <w:r>
              <w:rPr>
                <w:sz w:val="24"/>
              </w:rPr>
              <w:t>parents</w:t>
            </w:r>
          </w:p>
          <w:p>
            <w:pPr>
              <w:pStyle w:val="TableParagraph"/>
              <w:numPr>
                <w:ilvl w:val="0"/>
                <w:numId w:val="15"/>
              </w:numPr>
              <w:tabs>
                <w:tab w:pos="827" w:val="left" w:leader="none"/>
                <w:tab w:pos="828" w:val="left" w:leader="none"/>
              </w:tabs>
              <w:spacing w:line="240" w:lineRule="auto" w:before="118" w:after="0"/>
              <w:ind w:left="827" w:right="499" w:hanging="360"/>
              <w:jc w:val="left"/>
              <w:rPr>
                <w:sz w:val="24"/>
              </w:rPr>
            </w:pPr>
            <w:r>
              <w:rPr>
                <w:sz w:val="24"/>
              </w:rPr>
              <w:t>how delivery of the content will be made accessible to all pupils, including those with</w:t>
            </w:r>
            <w:r>
              <w:rPr>
                <w:spacing w:val="-1"/>
                <w:sz w:val="24"/>
              </w:rPr>
              <w:t> </w:t>
            </w:r>
            <w:r>
              <w:rPr>
                <w:sz w:val="24"/>
              </w:rPr>
              <w:t>SEND</w:t>
            </w:r>
          </w:p>
          <w:p>
            <w:pPr>
              <w:pStyle w:val="TableParagraph"/>
              <w:numPr>
                <w:ilvl w:val="0"/>
                <w:numId w:val="15"/>
              </w:numPr>
              <w:tabs>
                <w:tab w:pos="827" w:val="left" w:leader="none"/>
                <w:tab w:pos="828" w:val="left" w:leader="none"/>
              </w:tabs>
              <w:spacing w:line="240" w:lineRule="auto" w:before="118" w:after="0"/>
              <w:ind w:left="827" w:right="0" w:hanging="361"/>
              <w:jc w:val="left"/>
              <w:rPr>
                <w:sz w:val="24"/>
              </w:rPr>
            </w:pPr>
            <w:r>
              <w:rPr>
                <w:sz w:val="24"/>
              </w:rPr>
              <w:t>explanation of the right to</w:t>
            </w:r>
            <w:r>
              <w:rPr>
                <w:spacing w:val="-1"/>
                <w:sz w:val="24"/>
              </w:rPr>
              <w:t> </w:t>
            </w:r>
            <w:r>
              <w:rPr>
                <w:sz w:val="24"/>
              </w:rPr>
              <w:t>withdraw</w:t>
            </w:r>
          </w:p>
          <w:p>
            <w:pPr>
              <w:pStyle w:val="TableParagraph"/>
              <w:numPr>
                <w:ilvl w:val="0"/>
                <w:numId w:val="15"/>
              </w:numPr>
              <w:tabs>
                <w:tab w:pos="827" w:val="left" w:leader="none"/>
                <w:tab w:pos="828" w:val="left" w:leader="none"/>
              </w:tabs>
              <w:spacing w:line="240" w:lineRule="auto" w:before="118" w:after="0"/>
              <w:ind w:left="827" w:right="326" w:hanging="360"/>
              <w:jc w:val="left"/>
              <w:rPr>
                <w:sz w:val="24"/>
              </w:rPr>
            </w:pPr>
            <w:r>
              <w:rPr>
                <w:sz w:val="24"/>
              </w:rPr>
              <w:t>requirements on schools in law e.g. the Equality Act (please see The Equality Act 2010 and schools: Departmental</w:t>
            </w:r>
            <w:r>
              <w:rPr>
                <w:spacing w:val="-3"/>
                <w:sz w:val="24"/>
              </w:rPr>
              <w:t> </w:t>
            </w:r>
            <w:r>
              <w:rPr>
                <w:sz w:val="24"/>
              </w:rPr>
              <w:t>advice)</w:t>
            </w:r>
          </w:p>
          <w:p>
            <w:pPr>
              <w:pStyle w:val="TableParagraph"/>
              <w:numPr>
                <w:ilvl w:val="0"/>
                <w:numId w:val="15"/>
              </w:numPr>
              <w:tabs>
                <w:tab w:pos="827" w:val="left" w:leader="none"/>
                <w:tab w:pos="828" w:val="left" w:leader="none"/>
              </w:tabs>
              <w:spacing w:line="240" w:lineRule="auto" w:before="118" w:after="0"/>
              <w:ind w:left="827" w:right="0" w:hanging="361"/>
              <w:jc w:val="left"/>
              <w:rPr>
                <w:sz w:val="24"/>
              </w:rPr>
            </w:pPr>
            <w:r>
              <w:rPr>
                <w:sz w:val="24"/>
              </w:rPr>
              <w:t>how often the policy is updated</w:t>
            </w:r>
          </w:p>
          <w:p>
            <w:pPr>
              <w:pStyle w:val="TableParagraph"/>
              <w:numPr>
                <w:ilvl w:val="0"/>
                <w:numId w:val="15"/>
              </w:numPr>
              <w:tabs>
                <w:tab w:pos="827" w:val="left" w:leader="none"/>
                <w:tab w:pos="828" w:val="left" w:leader="none"/>
              </w:tabs>
              <w:spacing w:line="240" w:lineRule="auto" w:before="119" w:after="0"/>
              <w:ind w:left="827" w:right="0" w:hanging="361"/>
              <w:jc w:val="left"/>
              <w:rPr>
                <w:sz w:val="24"/>
              </w:rPr>
            </w:pPr>
            <w:r>
              <w:rPr>
                <w:sz w:val="24"/>
              </w:rPr>
              <w:t>who approves the</w:t>
            </w:r>
            <w:r>
              <w:rPr>
                <w:spacing w:val="-1"/>
                <w:sz w:val="24"/>
              </w:rPr>
              <w:t> </w:t>
            </w:r>
            <w:r>
              <w:rPr>
                <w:sz w:val="24"/>
              </w:rPr>
              <w:t>policy</w:t>
            </w:r>
          </w:p>
        </w:tc>
      </w:tr>
    </w:tbl>
    <w:p>
      <w:pPr>
        <w:pStyle w:val="BodyText"/>
        <w:spacing w:before="5"/>
        <w:rPr>
          <w:sz w:val="15"/>
        </w:rPr>
      </w:pPr>
    </w:p>
    <w:p>
      <w:pPr>
        <w:pStyle w:val="ListParagraph"/>
        <w:numPr>
          <w:ilvl w:val="0"/>
          <w:numId w:val="14"/>
        </w:numPr>
        <w:tabs>
          <w:tab w:pos="833" w:val="left" w:leader="none"/>
          <w:tab w:pos="834" w:val="left" w:leader="none"/>
        </w:tabs>
        <w:spacing w:line="288" w:lineRule="auto" w:before="96" w:after="0"/>
        <w:ind w:left="114" w:right="524" w:firstLine="0"/>
        <w:jc w:val="left"/>
        <w:rPr>
          <w:sz w:val="24"/>
        </w:rPr>
      </w:pPr>
      <w:r>
        <w:rPr>
          <w:sz w:val="24"/>
        </w:rPr>
        <w:t>In secondary schools, RSE will often address aspects of relationships and sex education in an integrated way within a single topic. Schools should develop programmes of teaching which prioritise effective delivery of the content, and do not need artificially to separate sex education and Relationships</w:t>
      </w:r>
      <w:r>
        <w:rPr>
          <w:spacing w:val="-4"/>
          <w:sz w:val="24"/>
        </w:rPr>
        <w:t> </w:t>
      </w:r>
      <w:r>
        <w:rPr>
          <w:sz w:val="24"/>
        </w:rPr>
        <w:t>Education.</w:t>
      </w:r>
    </w:p>
    <w:p>
      <w:pPr>
        <w:pStyle w:val="ListParagraph"/>
        <w:numPr>
          <w:ilvl w:val="0"/>
          <w:numId w:val="14"/>
        </w:numPr>
        <w:tabs>
          <w:tab w:pos="833" w:val="left" w:leader="none"/>
          <w:tab w:pos="834" w:val="left" w:leader="none"/>
        </w:tabs>
        <w:spacing w:line="288" w:lineRule="auto" w:before="239" w:after="0"/>
        <w:ind w:left="113" w:right="602" w:firstLine="0"/>
        <w:jc w:val="left"/>
        <w:rPr>
          <w:sz w:val="24"/>
        </w:rPr>
      </w:pPr>
      <w:r>
        <w:rPr>
          <w:sz w:val="24"/>
        </w:rPr>
        <w:t>The policy should also reflect the views of teachers and pupils. Listening and responding to the views of young people will strengthen the policy, ensuring that it meets the needs of all pupils.</w:t>
      </w:r>
    </w:p>
    <w:p>
      <w:pPr>
        <w:pStyle w:val="BodyText"/>
        <w:spacing w:before="10"/>
        <w:rPr>
          <w:sz w:val="41"/>
        </w:rPr>
      </w:pPr>
    </w:p>
    <w:p>
      <w:pPr>
        <w:pStyle w:val="Heading2"/>
        <w:ind w:right="1479"/>
      </w:pPr>
      <w:bookmarkStart w:name="Religion and belief, including teaching " w:id="30"/>
      <w:bookmarkEnd w:id="30"/>
      <w:r>
        <w:rPr>
          <w:b w:val="0"/>
        </w:rPr>
      </w:r>
      <w:bookmarkStart w:name="_bookmark18" w:id="31"/>
      <w:bookmarkEnd w:id="31"/>
      <w:r>
        <w:rPr>
          <w:b w:val="0"/>
        </w:rPr>
      </w:r>
      <w:r>
        <w:rPr>
          <w:color w:val="02466C"/>
        </w:rPr>
        <w:t>Religion and belief, including teaching in schools with a religious character</w:t>
      </w:r>
    </w:p>
    <w:p>
      <w:pPr>
        <w:pStyle w:val="ListParagraph"/>
        <w:numPr>
          <w:ilvl w:val="0"/>
          <w:numId w:val="14"/>
        </w:numPr>
        <w:tabs>
          <w:tab w:pos="833" w:val="left" w:leader="none"/>
          <w:tab w:pos="834" w:val="left" w:leader="none"/>
        </w:tabs>
        <w:spacing w:line="288" w:lineRule="auto" w:before="239" w:after="0"/>
        <w:ind w:left="113" w:right="725" w:firstLine="0"/>
        <w:jc w:val="left"/>
        <w:rPr>
          <w:sz w:val="24"/>
        </w:rPr>
      </w:pPr>
      <w:r>
        <w:rPr>
          <w:sz w:val="24"/>
        </w:rPr>
        <w:t>A good understanding of pupils’ faith backgrounds and positive relationships between the school and local faith communities help to create a constructive context for the teaching of these</w:t>
      </w:r>
      <w:r>
        <w:rPr>
          <w:spacing w:val="-1"/>
          <w:sz w:val="24"/>
        </w:rPr>
        <w:t> </w:t>
      </w:r>
      <w:r>
        <w:rPr>
          <w:sz w:val="24"/>
        </w:rPr>
        <w:t>subjects.</w:t>
      </w:r>
    </w:p>
    <w:p>
      <w:pPr>
        <w:pStyle w:val="ListParagraph"/>
        <w:numPr>
          <w:ilvl w:val="0"/>
          <w:numId w:val="14"/>
        </w:numPr>
        <w:tabs>
          <w:tab w:pos="833" w:val="left" w:leader="none"/>
          <w:tab w:pos="834" w:val="left" w:leader="none"/>
        </w:tabs>
        <w:spacing w:line="288" w:lineRule="auto" w:before="240" w:after="0"/>
        <w:ind w:left="113" w:right="607" w:firstLine="0"/>
        <w:jc w:val="left"/>
        <w:rPr>
          <w:sz w:val="24"/>
        </w:rPr>
      </w:pPr>
      <w:r>
        <w:rPr>
          <w:sz w:val="24"/>
        </w:rPr>
        <w:t>In all schools, when teaching these subjects, the religious background of all pupils must be taken into account when planning teaching, so that the topics that are included in the core content in this guidance are appropriately handled. Schools must ensure they comply with the relevant provisions of the Equality Act 2010, under which religion or belief are amongst the protected</w:t>
      </w:r>
      <w:r>
        <w:rPr>
          <w:spacing w:val="-2"/>
          <w:sz w:val="24"/>
        </w:rPr>
        <w:t> </w:t>
      </w:r>
      <w:r>
        <w:rPr>
          <w:sz w:val="24"/>
        </w:rPr>
        <w:t>characteristics.</w:t>
      </w:r>
    </w:p>
    <w:p>
      <w:pPr>
        <w:pStyle w:val="ListParagraph"/>
        <w:numPr>
          <w:ilvl w:val="0"/>
          <w:numId w:val="14"/>
        </w:numPr>
        <w:tabs>
          <w:tab w:pos="833" w:val="left" w:leader="none"/>
          <w:tab w:pos="834" w:val="left" w:leader="none"/>
        </w:tabs>
        <w:spacing w:line="288" w:lineRule="auto" w:before="239" w:after="0"/>
        <w:ind w:left="113" w:right="526" w:firstLine="0"/>
        <w:jc w:val="left"/>
        <w:rPr>
          <w:sz w:val="24"/>
        </w:rPr>
      </w:pPr>
      <w:r>
        <w:rPr>
          <w:sz w:val="24"/>
        </w:rPr>
        <w:t>All schools may teach about faith perspectives. In particular, schools with a religious character may teach the distinctive faith perspective on relationships, and balanced debate may take place about issues that are seen as contentious. For</w:t>
      </w:r>
      <w:r>
        <w:rPr>
          <w:spacing w:val="-40"/>
          <w:sz w:val="24"/>
        </w:rPr>
        <w:t> </w:t>
      </w:r>
      <w:r>
        <w:rPr>
          <w:sz w:val="24"/>
        </w:rPr>
        <w:t>example,</w:t>
      </w:r>
    </w:p>
    <w:p>
      <w:pPr>
        <w:spacing w:after="0" w:line="288" w:lineRule="auto"/>
        <w:jc w:val="left"/>
        <w:rPr>
          <w:sz w:val="24"/>
        </w:rPr>
        <w:sectPr>
          <w:pgSz w:w="11910" w:h="16840"/>
          <w:pgMar w:header="708" w:footer="783" w:top="980" w:bottom="980" w:left="1020" w:right="760"/>
        </w:sectPr>
      </w:pPr>
    </w:p>
    <w:p>
      <w:pPr>
        <w:pStyle w:val="BodyText"/>
        <w:spacing w:line="288" w:lineRule="auto" w:before="138"/>
        <w:ind w:left="114" w:right="591"/>
      </w:pPr>
      <w:r>
        <w:rPr/>
        <w:t>the school may wish to reflect on faith teachings about certain topics as well as how their faith institutions may support people in matters of relationships and sex.</w:t>
      </w:r>
    </w:p>
    <w:p>
      <w:pPr>
        <w:pStyle w:val="ListParagraph"/>
        <w:numPr>
          <w:ilvl w:val="0"/>
          <w:numId w:val="14"/>
        </w:numPr>
        <w:tabs>
          <w:tab w:pos="834" w:val="left" w:leader="none"/>
        </w:tabs>
        <w:spacing w:line="288" w:lineRule="auto" w:before="240" w:after="0"/>
        <w:ind w:left="114" w:right="524" w:firstLine="0"/>
        <w:jc w:val="both"/>
        <w:rPr>
          <w:sz w:val="24"/>
        </w:rPr>
      </w:pPr>
      <w:r>
        <w:rPr>
          <w:sz w:val="24"/>
        </w:rPr>
        <w:t>In all schools, teaching should reflect the law (including the Equality Act 2010) as it applies to relationships, so that young people clearly understand what the law allows and does not allow, and the wider legal implications of decisions they may</w:t>
      </w:r>
      <w:r>
        <w:rPr>
          <w:spacing w:val="-11"/>
          <w:sz w:val="24"/>
        </w:rPr>
        <w:t> </w:t>
      </w:r>
      <w:r>
        <w:rPr>
          <w:sz w:val="24"/>
        </w:rPr>
        <w:t>make.</w:t>
      </w:r>
    </w:p>
    <w:p>
      <w:pPr>
        <w:pStyle w:val="BodyText"/>
        <w:spacing w:before="10"/>
        <w:rPr>
          <w:sz w:val="41"/>
        </w:rPr>
      </w:pPr>
    </w:p>
    <w:p>
      <w:pPr>
        <w:pStyle w:val="Heading2"/>
      </w:pPr>
      <w:bookmarkStart w:name="Use of materials" w:id="32"/>
      <w:bookmarkEnd w:id="32"/>
      <w:r>
        <w:rPr>
          <w:b w:val="0"/>
        </w:rPr>
      </w:r>
      <w:bookmarkStart w:name="_bookmark19" w:id="33"/>
      <w:bookmarkEnd w:id="33"/>
      <w:r>
        <w:rPr>
          <w:b w:val="0"/>
        </w:rPr>
      </w:r>
      <w:r>
        <w:rPr>
          <w:color w:val="02466C"/>
        </w:rPr>
        <w:t>Use of materials</w:t>
      </w:r>
    </w:p>
    <w:p>
      <w:pPr>
        <w:pStyle w:val="ListParagraph"/>
        <w:numPr>
          <w:ilvl w:val="0"/>
          <w:numId w:val="14"/>
        </w:numPr>
        <w:tabs>
          <w:tab w:pos="833" w:val="left" w:leader="none"/>
          <w:tab w:pos="834" w:val="left" w:leader="none"/>
        </w:tabs>
        <w:spacing w:line="288" w:lineRule="auto" w:before="238" w:after="0"/>
        <w:ind w:left="113" w:right="591" w:firstLine="0"/>
        <w:jc w:val="left"/>
        <w:rPr>
          <w:sz w:val="24"/>
        </w:rPr>
      </w:pPr>
      <w:r>
        <w:rPr>
          <w:sz w:val="24"/>
        </w:rPr>
        <w:t>There are a lot of excellent resources available, free-of-charge, which schools can draw on when delivering these subjects. Schools should assess each resource that they propose to use to ensure that it is appropriate for the age and maturity of pupils, and sensitive to their needs.</w:t>
      </w:r>
    </w:p>
    <w:p>
      <w:pPr>
        <w:pStyle w:val="ListParagraph"/>
        <w:numPr>
          <w:ilvl w:val="0"/>
          <w:numId w:val="14"/>
        </w:numPr>
        <w:tabs>
          <w:tab w:pos="833" w:val="left" w:leader="none"/>
          <w:tab w:pos="834" w:val="left" w:leader="none"/>
        </w:tabs>
        <w:spacing w:line="288" w:lineRule="auto" w:before="239" w:after="0"/>
        <w:ind w:left="113" w:right="550" w:firstLine="0"/>
        <w:jc w:val="left"/>
        <w:rPr>
          <w:sz w:val="24"/>
        </w:rPr>
      </w:pPr>
      <w:r>
        <w:rPr>
          <w:sz w:val="24"/>
        </w:rPr>
        <w:t>Schools should also ensure that, when they consult with parents, they provide examples of the resources that they plan to use as this can be reassuring for parents and enables them to continue the conversations started in class at</w:t>
      </w:r>
      <w:r>
        <w:rPr>
          <w:spacing w:val="-6"/>
          <w:sz w:val="24"/>
        </w:rPr>
        <w:t> </w:t>
      </w:r>
      <w:r>
        <w:rPr>
          <w:sz w:val="24"/>
        </w:rPr>
        <w:t>home.</w:t>
      </w:r>
    </w:p>
    <w:p>
      <w:pPr>
        <w:pStyle w:val="ListParagraph"/>
        <w:numPr>
          <w:ilvl w:val="0"/>
          <w:numId w:val="14"/>
        </w:numPr>
        <w:tabs>
          <w:tab w:pos="833" w:val="left" w:leader="none"/>
          <w:tab w:pos="834" w:val="left" w:leader="none"/>
        </w:tabs>
        <w:spacing w:line="288" w:lineRule="auto" w:before="240" w:after="0"/>
        <w:ind w:left="113" w:right="765" w:firstLine="0"/>
        <w:jc w:val="left"/>
        <w:rPr>
          <w:sz w:val="24"/>
        </w:rPr>
      </w:pPr>
      <w:r>
        <w:rPr>
          <w:sz w:val="24"/>
        </w:rPr>
        <w:t>In addition, there are varieties of resources targeted at young people that can be helpful to use to complement teaching in the classroom. Public Health England, for example, have produced a website for young people which covers a broad range of health issues in a format which is accessible for young people, targeted at secondary- age pupils. This includes</w:t>
      </w:r>
      <w:r>
        <w:rPr>
          <w:color w:val="2B4FA2"/>
          <w:sz w:val="24"/>
        </w:rPr>
        <w:t> </w:t>
      </w:r>
      <w:hyperlink r:id="rId40">
        <w:r>
          <w:rPr>
            <w:color w:val="2B4FA2"/>
            <w:sz w:val="24"/>
            <w:u w:val="single" w:color="2B4FA2"/>
          </w:rPr>
          <w:t>Rise Above resources</w:t>
        </w:r>
        <w:r>
          <w:rPr>
            <w:color w:val="2B4FA2"/>
            <w:sz w:val="24"/>
          </w:rPr>
          <w:t> </w:t>
        </w:r>
      </w:hyperlink>
      <w:r>
        <w:rPr>
          <w:sz w:val="24"/>
        </w:rPr>
        <w:t>for lessons linked from the</w:t>
      </w:r>
      <w:hyperlink r:id="rId41">
        <w:r>
          <w:rPr>
            <w:color w:val="2B4FA2"/>
            <w:sz w:val="24"/>
          </w:rPr>
          <w:t> </w:t>
        </w:r>
        <w:r>
          <w:rPr>
            <w:color w:val="2B4FA2"/>
            <w:sz w:val="24"/>
            <w:u w:val="single" w:color="2B4FA2"/>
          </w:rPr>
          <w:t>PSHE</w:t>
        </w:r>
      </w:hyperlink>
      <w:hyperlink r:id="rId41">
        <w:r>
          <w:rPr>
            <w:color w:val="2B4FA2"/>
            <w:sz w:val="24"/>
            <w:u w:val="single" w:color="2B4FA2"/>
          </w:rPr>
          <w:t> Association website</w:t>
        </w:r>
      </w:hyperlink>
      <w:r>
        <w:rPr>
          <w:sz w:val="24"/>
        </w:rPr>
        <w:t>.</w:t>
      </w:r>
    </w:p>
    <w:p>
      <w:pPr>
        <w:pStyle w:val="BodyText"/>
        <w:spacing w:before="6"/>
        <w:rPr>
          <w:sz w:val="12"/>
        </w:rPr>
      </w:pPr>
    </w:p>
    <w:p>
      <w:pPr>
        <w:pStyle w:val="ListParagraph"/>
        <w:numPr>
          <w:ilvl w:val="0"/>
          <w:numId w:val="14"/>
        </w:numPr>
        <w:tabs>
          <w:tab w:pos="833" w:val="left" w:leader="none"/>
          <w:tab w:pos="834" w:val="left" w:leader="none"/>
        </w:tabs>
        <w:spacing w:line="288" w:lineRule="auto" w:before="96" w:after="0"/>
        <w:ind w:left="113" w:right="538" w:firstLine="0"/>
        <w:jc w:val="left"/>
        <w:rPr>
          <w:sz w:val="24"/>
        </w:rPr>
      </w:pPr>
      <w:r>
        <w:rPr>
          <w:sz w:val="24"/>
        </w:rPr>
        <w:t>A list of some of the resources, which are available free-of-charge, can be found in Annex</w:t>
      </w:r>
      <w:r>
        <w:rPr>
          <w:spacing w:val="-2"/>
          <w:sz w:val="24"/>
        </w:rPr>
        <w:t> </w:t>
      </w:r>
      <w:r>
        <w:rPr>
          <w:sz w:val="24"/>
        </w:rPr>
        <w:t>B.</w:t>
      </w:r>
    </w:p>
    <w:p>
      <w:pPr>
        <w:pStyle w:val="BodyText"/>
        <w:spacing w:before="11"/>
        <w:rPr>
          <w:sz w:val="41"/>
        </w:rPr>
      </w:pPr>
    </w:p>
    <w:p>
      <w:pPr>
        <w:pStyle w:val="Heading2"/>
        <w:spacing w:before="0"/>
      </w:pPr>
      <w:bookmarkStart w:name="Equality" w:id="34"/>
      <w:bookmarkEnd w:id="34"/>
      <w:r>
        <w:rPr>
          <w:b w:val="0"/>
        </w:rPr>
      </w:r>
      <w:bookmarkStart w:name="_bookmark20" w:id="35"/>
      <w:bookmarkEnd w:id="35"/>
      <w:r>
        <w:rPr>
          <w:b w:val="0"/>
        </w:rPr>
      </w:r>
      <w:r>
        <w:rPr>
          <w:color w:val="02466C"/>
        </w:rPr>
        <w:t>Equality</w:t>
      </w:r>
    </w:p>
    <w:p>
      <w:pPr>
        <w:pStyle w:val="ListParagraph"/>
        <w:numPr>
          <w:ilvl w:val="0"/>
          <w:numId w:val="14"/>
        </w:numPr>
        <w:tabs>
          <w:tab w:pos="833" w:val="left" w:leader="none"/>
          <w:tab w:pos="834" w:val="left" w:leader="none"/>
        </w:tabs>
        <w:spacing w:line="285" w:lineRule="auto" w:before="238" w:after="0"/>
        <w:ind w:left="113" w:right="1031" w:firstLine="0"/>
        <w:jc w:val="left"/>
        <w:rPr>
          <w:sz w:val="24"/>
        </w:rPr>
      </w:pPr>
      <w:r>
        <w:rPr>
          <w:sz w:val="24"/>
        </w:rPr>
        <w:t>Schools are required to comply with relevant requirements of the Equality Act 2010. Further guidance is available for schools in</w:t>
      </w:r>
      <w:r>
        <w:rPr>
          <w:color w:val="2B4FA2"/>
          <w:sz w:val="24"/>
        </w:rPr>
        <w:t> </w:t>
      </w:r>
      <w:hyperlink r:id="rId42">
        <w:r>
          <w:rPr>
            <w:color w:val="2B4FA2"/>
            <w:sz w:val="24"/>
            <w:u w:val="single" w:color="2B4FA2"/>
          </w:rPr>
          <w:t>The Equality Act 2010 and schools</w:t>
        </w:r>
      </w:hyperlink>
      <w:r>
        <w:rPr>
          <w:sz w:val="24"/>
        </w:rPr>
        <w:t> advice. Schools</w:t>
      </w:r>
      <w:r>
        <w:rPr>
          <w:position w:val="8"/>
          <w:sz w:val="16"/>
        </w:rPr>
        <w:t>10 </w:t>
      </w:r>
      <w:r>
        <w:rPr>
          <w:sz w:val="24"/>
        </w:rPr>
        <w:t>should pay particular attention to the</w:t>
      </w:r>
      <w:hyperlink r:id="rId43">
        <w:r>
          <w:rPr>
            <w:color w:val="2B4FA2"/>
            <w:sz w:val="24"/>
          </w:rPr>
          <w:t> </w:t>
        </w:r>
        <w:r>
          <w:rPr>
            <w:color w:val="2B4FA2"/>
            <w:sz w:val="24"/>
            <w:u w:val="single" w:color="2B4FA2"/>
          </w:rPr>
          <w:t>Public sector equality duty</w:t>
        </w:r>
      </w:hyperlink>
      <w:r>
        <w:rPr>
          <w:color w:val="2B4FA2"/>
          <w:sz w:val="24"/>
          <w:u w:val="single" w:color="2B4FA2"/>
        </w:rPr>
        <w:t> (PSED</w:t>
      </w:r>
      <w:r>
        <w:rPr>
          <w:sz w:val="24"/>
          <w:u w:val="single" w:color="2B4FA2"/>
        </w:rPr>
        <w:t>)</w:t>
      </w:r>
      <w:r>
        <w:rPr>
          <w:sz w:val="24"/>
        </w:rPr>
        <w:t> (s.149 of the Equality Act).</w:t>
      </w:r>
    </w:p>
    <w:p>
      <w:pPr>
        <w:pStyle w:val="BodyText"/>
        <w:spacing w:before="1"/>
        <w:rPr>
          <w:sz w:val="13"/>
        </w:rPr>
      </w:pPr>
    </w:p>
    <w:p>
      <w:pPr>
        <w:pStyle w:val="ListParagraph"/>
        <w:numPr>
          <w:ilvl w:val="0"/>
          <w:numId w:val="14"/>
        </w:numPr>
        <w:tabs>
          <w:tab w:pos="833" w:val="left" w:leader="none"/>
          <w:tab w:pos="834" w:val="left" w:leader="none"/>
        </w:tabs>
        <w:spacing w:line="285" w:lineRule="auto" w:before="96" w:after="0"/>
        <w:ind w:left="113" w:right="618" w:firstLine="0"/>
        <w:jc w:val="left"/>
        <w:rPr>
          <w:sz w:val="24"/>
        </w:rPr>
      </w:pPr>
      <w:r>
        <w:rPr>
          <w:sz w:val="24"/>
        </w:rPr>
        <w:t>Under the provisions of the Equality Act, schools must not unlawfully discriminate against pupils because of their age, sex, race, disability, religion or belief, gender reassignment, pregnancy or maternity, marriage or civil partnership</w:t>
      </w:r>
      <w:r>
        <w:rPr>
          <w:position w:val="8"/>
          <w:sz w:val="16"/>
        </w:rPr>
        <w:t>11</w:t>
      </w:r>
      <w:r>
        <w:rPr>
          <w:sz w:val="24"/>
        </w:rPr>
        <w:t>, or sexual orientation (collectively known as the protected characteristics). Schools must also</w:t>
      </w:r>
      <w:r>
        <w:rPr>
          <w:spacing w:val="-35"/>
          <w:sz w:val="24"/>
        </w:rPr>
        <w:t> </w:t>
      </w:r>
      <w:r>
        <w:rPr>
          <w:sz w:val="24"/>
        </w:rPr>
        <w:t>make</w:t>
      </w:r>
    </w:p>
    <w:p>
      <w:pPr>
        <w:pStyle w:val="BodyText"/>
        <w:rPr>
          <w:sz w:val="20"/>
        </w:rPr>
      </w:pPr>
    </w:p>
    <w:p>
      <w:pPr>
        <w:pStyle w:val="BodyText"/>
        <w:rPr>
          <w:sz w:val="20"/>
        </w:rPr>
      </w:pPr>
    </w:p>
    <w:p>
      <w:pPr>
        <w:pStyle w:val="BodyText"/>
        <w:rPr>
          <w:sz w:val="20"/>
        </w:rPr>
      </w:pPr>
    </w:p>
    <w:p>
      <w:pPr>
        <w:pStyle w:val="BodyText"/>
        <w:spacing w:before="2"/>
        <w:rPr>
          <w:sz w:val="11"/>
        </w:rPr>
      </w:pPr>
      <w:r>
        <w:rPr/>
        <w:pict>
          <v:shape style="position:absolute;margin-left:56.700001pt;margin-top:8.713966pt;width:144pt;height:.1pt;mso-position-horizontal-relative:page;mso-position-vertical-relative:paragraph;z-index:-251646976;mso-wrap-distance-left:0;mso-wrap-distance-right:0" coordorigin="1134,174" coordsize="2880,0" path="m1134,174l4014,174e" filled="false" stroked="true" strokeweight=".599pt" strokecolor="#000000">
            <v:path arrowok="t"/>
            <v:stroke dashstyle="solid"/>
            <w10:wrap type="topAndBottom"/>
          </v:shape>
        </w:pict>
      </w:r>
    </w:p>
    <w:p>
      <w:pPr>
        <w:pStyle w:val="BodyText"/>
        <w:spacing w:before="7"/>
        <w:rPr>
          <w:sz w:val="16"/>
        </w:rPr>
      </w:pPr>
    </w:p>
    <w:p>
      <w:pPr>
        <w:spacing w:before="98"/>
        <w:ind w:left="113" w:right="687" w:firstLine="0"/>
        <w:jc w:val="left"/>
        <w:rPr>
          <w:sz w:val="18"/>
        </w:rPr>
      </w:pPr>
      <w:r>
        <w:rPr>
          <w:position w:val="6"/>
          <w:sz w:val="12"/>
        </w:rPr>
        <w:t>10 </w:t>
      </w:r>
      <w:r>
        <w:rPr>
          <w:sz w:val="18"/>
        </w:rPr>
        <w:t>Equality Act provisions in relation to schools are in Part 6, Chapter 1. Independent schools are not subject to the PSED.</w:t>
      </w:r>
    </w:p>
    <w:p>
      <w:pPr>
        <w:spacing w:line="226" w:lineRule="exact" w:before="0"/>
        <w:ind w:left="114" w:right="0" w:firstLine="0"/>
        <w:jc w:val="left"/>
        <w:rPr>
          <w:sz w:val="18"/>
        </w:rPr>
      </w:pPr>
      <w:r>
        <w:rPr>
          <w:position w:val="7"/>
          <w:sz w:val="13"/>
        </w:rPr>
        <w:t>11 </w:t>
      </w:r>
      <w:r>
        <w:rPr>
          <w:sz w:val="18"/>
        </w:rPr>
        <w:t>In the rest of this guidance, references to marriage should be read as marriage and civil partnership.</w:t>
      </w:r>
    </w:p>
    <w:p>
      <w:pPr>
        <w:spacing w:after="0" w:line="226" w:lineRule="exact"/>
        <w:jc w:val="left"/>
        <w:rPr>
          <w:sz w:val="18"/>
        </w:rPr>
        <w:sectPr>
          <w:pgSz w:w="11910" w:h="16840"/>
          <w:pgMar w:header="708" w:footer="783" w:top="980" w:bottom="980" w:left="1020" w:right="760"/>
        </w:sectPr>
      </w:pPr>
    </w:p>
    <w:p>
      <w:pPr>
        <w:pStyle w:val="BodyText"/>
        <w:spacing w:line="288" w:lineRule="auto" w:before="138"/>
        <w:ind w:left="114" w:right="790"/>
      </w:pPr>
      <w:r>
        <w:rPr/>
        <w:t>reasonable adjustments to alleviate disadvantage and be mindful of the SEND Code of Practice when planning for these subjects.</w:t>
      </w:r>
    </w:p>
    <w:p>
      <w:pPr>
        <w:pStyle w:val="ListParagraph"/>
        <w:numPr>
          <w:ilvl w:val="0"/>
          <w:numId w:val="14"/>
        </w:numPr>
        <w:tabs>
          <w:tab w:pos="833" w:val="left" w:leader="none"/>
          <w:tab w:pos="834" w:val="left" w:leader="none"/>
        </w:tabs>
        <w:spacing w:line="288" w:lineRule="auto" w:before="240" w:after="0"/>
        <w:ind w:left="113" w:right="699" w:firstLine="0"/>
        <w:jc w:val="left"/>
        <w:rPr>
          <w:sz w:val="24"/>
        </w:rPr>
      </w:pPr>
      <w:r>
        <w:rPr>
          <w:sz w:val="24"/>
        </w:rPr>
        <w:t>Provisions within the Equality Act allow schools to take positive action, where it can be shown that it is proportionate, to deal with particular disadvantages affecting one group because of a protected characteristic. This should be taken into consideration in designing and teaching these subjects. A school, could, for example, consider taking positive action to support girls if there was evidence that they were being disproportionately subjected to sexual violence or sexual</w:t>
      </w:r>
      <w:r>
        <w:rPr>
          <w:spacing w:val="-6"/>
          <w:sz w:val="24"/>
        </w:rPr>
        <w:t> </w:t>
      </w:r>
      <w:r>
        <w:rPr>
          <w:sz w:val="24"/>
        </w:rPr>
        <w:t>harassment.</w:t>
      </w:r>
    </w:p>
    <w:p>
      <w:pPr>
        <w:pStyle w:val="ListParagraph"/>
        <w:numPr>
          <w:ilvl w:val="0"/>
          <w:numId w:val="14"/>
        </w:numPr>
        <w:tabs>
          <w:tab w:pos="833" w:val="left" w:leader="none"/>
          <w:tab w:pos="834" w:val="left" w:leader="none"/>
        </w:tabs>
        <w:spacing w:line="288" w:lineRule="auto" w:before="240" w:after="0"/>
        <w:ind w:left="113" w:right="524" w:firstLine="0"/>
        <w:jc w:val="left"/>
        <w:rPr>
          <w:sz w:val="24"/>
        </w:rPr>
      </w:pPr>
      <w:r>
        <w:rPr>
          <w:sz w:val="24"/>
        </w:rPr>
        <w:t>Schools should consider the makeup of their own student body, including the gender and age range of their pupils, and consider whether it is appropriate or necessary to put in place additional support for pupils with particular protected characteristics (which mean that they are potentially at greater risk). Schools should consider what they can do to foster healthy and respectful peer-to-peer communication and behaviour between boys and girls, and provide an environment, which challenges perceived limits on pupils based on their gender or any other characteristic, including through these subjects and as part of a whole-school approach.</w:t>
      </w:r>
    </w:p>
    <w:p>
      <w:pPr>
        <w:pStyle w:val="ListParagraph"/>
        <w:numPr>
          <w:ilvl w:val="0"/>
          <w:numId w:val="14"/>
        </w:numPr>
        <w:tabs>
          <w:tab w:pos="833" w:val="left" w:leader="none"/>
          <w:tab w:pos="834" w:val="left" w:leader="none"/>
        </w:tabs>
        <w:spacing w:line="288" w:lineRule="auto" w:before="241" w:after="0"/>
        <w:ind w:left="113" w:right="925" w:firstLine="0"/>
        <w:jc w:val="left"/>
        <w:rPr>
          <w:sz w:val="24"/>
        </w:rPr>
      </w:pPr>
      <w:r>
        <w:rPr>
          <w:sz w:val="24"/>
        </w:rPr>
        <w:t>Schools should be alive to issues such as everyday sexism, misogyny, homophobia and gender stereotypes and take positive action to build a culture where these are not tolerated, and any occurrences are identified and tackled. Staff have an important role to play in modelling positive behaviours. School pastoral and behaviour policies should support all pupils.</w:t>
      </w:r>
    </w:p>
    <w:p>
      <w:pPr>
        <w:pStyle w:val="ListParagraph"/>
        <w:numPr>
          <w:ilvl w:val="0"/>
          <w:numId w:val="14"/>
        </w:numPr>
        <w:tabs>
          <w:tab w:pos="833" w:val="left" w:leader="none"/>
          <w:tab w:pos="834" w:val="left" w:leader="none"/>
        </w:tabs>
        <w:spacing w:line="288" w:lineRule="auto" w:before="240" w:after="0"/>
        <w:ind w:left="114" w:right="563" w:firstLine="0"/>
        <w:jc w:val="left"/>
        <w:rPr>
          <w:sz w:val="24"/>
        </w:rPr>
      </w:pPr>
      <w:r>
        <w:rPr>
          <w:sz w:val="24"/>
        </w:rPr>
        <w:t>Schools should refer to the Department’s advice,</w:t>
      </w:r>
      <w:hyperlink r:id="rId35">
        <w:r>
          <w:rPr>
            <w:color w:val="2B4FA2"/>
            <w:sz w:val="24"/>
            <w:u w:val="single" w:color="2B4FA2"/>
          </w:rPr>
          <w:t> Sexual violence and sexual</w:t>
        </w:r>
      </w:hyperlink>
      <w:hyperlink r:id="rId35">
        <w:r>
          <w:rPr>
            <w:color w:val="2B4FA2"/>
            <w:sz w:val="24"/>
            <w:u w:val="single" w:color="2B4FA2"/>
          </w:rPr>
          <w:t> harassment between children in schools and colleges</w:t>
        </w:r>
      </w:hyperlink>
      <w:r>
        <w:rPr>
          <w:sz w:val="24"/>
        </w:rPr>
        <w:t>. The advice sets out what sexual violence and sexual harassment are, the current evidence on their preponderance in schools and colleges, how to minimise the risk of them occurring and what to do when they do occur or are alleged to have occurred. Schools should be aware of the importance of making clear that sexual violence and sexual harassment are not acceptable, will never be tolerated and are not an inevitable part of growing up. Any report of sexual violence or sexual harassment should be taken seriously; staff should be aware that statistically it is more likely that females will be the victims of sexual violence and sexual harassment than males, and that it is more likely that it will be perpetrated by males. However, males can also be the victims of sexual violence and it can also happen in same-sex relationships. It is, however, essential that assumptions are not made about the behaviour of boys and young men and that they are not made to feel that this behaviour is an inevitable part of being male; most young men are respectful of young women and each other. An understanding for all pupils of healthy relationships, acceptable behaviour and the right of everyone to equal treatment will help ensure that pupils treat each other well and go on to be respectful and kind</w:t>
      </w:r>
      <w:r>
        <w:rPr>
          <w:spacing w:val="-10"/>
          <w:sz w:val="24"/>
        </w:rPr>
        <w:t> </w:t>
      </w:r>
      <w:r>
        <w:rPr>
          <w:sz w:val="24"/>
        </w:rPr>
        <w:t>adults.</w:t>
      </w:r>
    </w:p>
    <w:p>
      <w:pPr>
        <w:spacing w:after="0" w:line="288" w:lineRule="auto"/>
        <w:jc w:val="left"/>
        <w:rPr>
          <w:sz w:val="24"/>
        </w:rPr>
        <w:sectPr>
          <w:pgSz w:w="11910" w:h="16840"/>
          <w:pgMar w:header="708" w:footer="783" w:top="980" w:bottom="980" w:left="1020" w:right="760"/>
        </w:sectPr>
      </w:pPr>
    </w:p>
    <w:p>
      <w:pPr>
        <w:pStyle w:val="Heading3"/>
        <w:spacing w:before="139"/>
        <w:ind w:left="114"/>
      </w:pPr>
      <w:bookmarkStart w:name="Pupils with special educational needs an" w:id="36"/>
      <w:bookmarkEnd w:id="36"/>
      <w:r>
        <w:rPr>
          <w:b w:val="0"/>
        </w:rPr>
      </w:r>
      <w:bookmarkStart w:name="_bookmark21" w:id="37"/>
      <w:bookmarkEnd w:id="37"/>
      <w:r>
        <w:rPr>
          <w:b w:val="0"/>
        </w:rPr>
      </w:r>
      <w:r>
        <w:rPr>
          <w:color w:val="02466C"/>
        </w:rPr>
        <w:t>Pupils with special educational needs and disabilities (SEND)</w:t>
      </w:r>
    </w:p>
    <w:p>
      <w:pPr>
        <w:pStyle w:val="ListParagraph"/>
        <w:numPr>
          <w:ilvl w:val="0"/>
          <w:numId w:val="14"/>
        </w:numPr>
        <w:tabs>
          <w:tab w:pos="833" w:val="left" w:leader="none"/>
          <w:tab w:pos="834" w:val="left" w:leader="none"/>
        </w:tabs>
        <w:spacing w:line="288" w:lineRule="auto" w:before="239" w:after="0"/>
        <w:ind w:left="113" w:right="720" w:firstLine="0"/>
        <w:jc w:val="left"/>
        <w:rPr>
          <w:sz w:val="24"/>
        </w:rPr>
      </w:pPr>
      <w:r>
        <w:rPr>
          <w:sz w:val="24"/>
        </w:rPr>
        <w:t>Relationships Education, RSE and Health Education must be accessible for all pupils. This is particularly important when planning teaching for pupils with special educational needs and disabilities who represent a large minority of pupils. High quality teaching that is differentiated and personalised will be the starting point to ensure accessibility. Schools should also be mindful of the preparing for adulthood outcomes,</w:t>
      </w:r>
      <w:r>
        <w:rPr>
          <w:position w:val="8"/>
          <w:sz w:val="16"/>
        </w:rPr>
        <w:t>12</w:t>
      </w:r>
      <w:r>
        <w:rPr>
          <w:sz w:val="16"/>
        </w:rPr>
        <w:t> </w:t>
      </w:r>
      <w:r>
        <w:rPr>
          <w:sz w:val="24"/>
        </w:rPr>
        <w:t>as set out in the SEND code of practice, when teaching these subjects to those with SEND.</w:t>
      </w:r>
    </w:p>
    <w:p>
      <w:pPr>
        <w:pStyle w:val="ListParagraph"/>
        <w:numPr>
          <w:ilvl w:val="0"/>
          <w:numId w:val="14"/>
        </w:numPr>
        <w:tabs>
          <w:tab w:pos="833" w:val="left" w:leader="none"/>
          <w:tab w:pos="834" w:val="left" w:leader="none"/>
        </w:tabs>
        <w:spacing w:line="288" w:lineRule="auto" w:before="235" w:after="0"/>
        <w:ind w:left="114" w:right="752" w:firstLine="0"/>
        <w:jc w:val="left"/>
        <w:rPr>
          <w:sz w:val="24"/>
        </w:rPr>
      </w:pPr>
      <w:r>
        <w:rPr>
          <w:sz w:val="24"/>
        </w:rPr>
        <w:t>Schools should be aware that some pupils are more vulnerable to exploitation, bullying and other issues due to the nature of their SEND. Relationships Education and RSE can also be particularly important subjects for some pupils; for example those with Social, Emotional and Mental Health needs or learning disabilities. Such factors should be taken into consideration in designing and teaching these</w:t>
      </w:r>
      <w:r>
        <w:rPr>
          <w:spacing w:val="-7"/>
          <w:sz w:val="24"/>
        </w:rPr>
        <w:t> </w:t>
      </w:r>
      <w:r>
        <w:rPr>
          <w:sz w:val="24"/>
        </w:rPr>
        <w:t>subjects.</w:t>
      </w:r>
    </w:p>
    <w:p>
      <w:pPr>
        <w:pStyle w:val="ListParagraph"/>
        <w:numPr>
          <w:ilvl w:val="0"/>
          <w:numId w:val="14"/>
        </w:numPr>
        <w:tabs>
          <w:tab w:pos="833" w:val="left" w:leader="none"/>
          <w:tab w:pos="834" w:val="left" w:leader="none"/>
        </w:tabs>
        <w:spacing w:line="288" w:lineRule="auto" w:before="240" w:after="0"/>
        <w:ind w:left="114" w:right="553" w:firstLine="0"/>
        <w:jc w:val="left"/>
        <w:rPr>
          <w:sz w:val="24"/>
        </w:rPr>
      </w:pPr>
      <w:r>
        <w:rPr>
          <w:sz w:val="24"/>
        </w:rPr>
        <w:t>In special schools and for some SEND pupils in mainstream schools there may be a need to tailor content and teaching to meet the specific needs of pupils at different developmental stages. As with all teaching for these subjects, schools should ensure that their teaching is sensitive, age-appropriate, developmentally appropriate and delivered with reference to the</w:t>
      </w:r>
      <w:r>
        <w:rPr>
          <w:spacing w:val="-1"/>
          <w:sz w:val="24"/>
        </w:rPr>
        <w:t> </w:t>
      </w:r>
      <w:r>
        <w:rPr>
          <w:sz w:val="24"/>
        </w:rPr>
        <w:t>law.</w:t>
      </w:r>
    </w:p>
    <w:p>
      <w:pPr>
        <w:pStyle w:val="BodyText"/>
        <w:spacing w:before="5"/>
        <w:rPr>
          <w:sz w:val="31"/>
        </w:rPr>
      </w:pPr>
    </w:p>
    <w:p>
      <w:pPr>
        <w:pStyle w:val="Heading3"/>
        <w:spacing w:before="0"/>
        <w:ind w:left="114"/>
      </w:pPr>
      <w:bookmarkStart w:name="Lesbian, Gay, Bisexual and Transgender (" w:id="38"/>
      <w:bookmarkEnd w:id="38"/>
      <w:r>
        <w:rPr>
          <w:b w:val="0"/>
        </w:rPr>
      </w:r>
      <w:bookmarkStart w:name="_bookmark22" w:id="39"/>
      <w:bookmarkEnd w:id="39"/>
      <w:r>
        <w:rPr>
          <w:b w:val="0"/>
        </w:rPr>
      </w:r>
      <w:r>
        <w:rPr>
          <w:color w:val="02466C"/>
        </w:rPr>
        <w:t>Lesbian, Gay, Bisexual and Transgender (LGBT)</w:t>
      </w:r>
    </w:p>
    <w:p>
      <w:pPr>
        <w:pStyle w:val="ListParagraph"/>
        <w:numPr>
          <w:ilvl w:val="0"/>
          <w:numId w:val="14"/>
        </w:numPr>
        <w:tabs>
          <w:tab w:pos="833" w:val="left" w:leader="none"/>
          <w:tab w:pos="834" w:val="left" w:leader="none"/>
        </w:tabs>
        <w:spacing w:line="288" w:lineRule="auto" w:before="238" w:after="0"/>
        <w:ind w:left="113" w:right="564" w:firstLine="0"/>
        <w:jc w:val="left"/>
        <w:rPr>
          <w:sz w:val="24"/>
        </w:rPr>
      </w:pPr>
      <w:r>
        <w:rPr>
          <w:sz w:val="24"/>
        </w:rPr>
        <w:t>In teaching Relationships Education and RSE, schools should ensure that the needs of all pupils are appropriately met, and that all pupils understand the importance of equality and respect. Schools must ensure that they comply with the relevant provisions of the Equality Act 2010, (please see The Equality Act 2010 and schools: Departmental advice), under which sexual orientation and gender reassignment are amongst the protected</w:t>
      </w:r>
      <w:r>
        <w:rPr>
          <w:spacing w:val="-1"/>
          <w:sz w:val="24"/>
        </w:rPr>
        <w:t> </w:t>
      </w:r>
      <w:r>
        <w:rPr>
          <w:sz w:val="24"/>
        </w:rPr>
        <w:t>characteristics.</w:t>
      </w:r>
    </w:p>
    <w:p>
      <w:pPr>
        <w:pStyle w:val="ListParagraph"/>
        <w:numPr>
          <w:ilvl w:val="0"/>
          <w:numId w:val="14"/>
        </w:numPr>
        <w:tabs>
          <w:tab w:pos="833" w:val="left" w:leader="none"/>
          <w:tab w:pos="834" w:val="left" w:leader="none"/>
        </w:tabs>
        <w:spacing w:line="288" w:lineRule="auto" w:before="241" w:after="0"/>
        <w:ind w:left="113" w:right="607" w:firstLine="0"/>
        <w:jc w:val="left"/>
        <w:rPr>
          <w:sz w:val="24"/>
        </w:rPr>
      </w:pPr>
      <w:r>
        <w:rPr>
          <w:sz w:val="24"/>
        </w:rPr>
        <w:t>Schools should ensure that all of their teaching is sensitive and age appropriate in approach and content. At the point at which schools consider it appropriate to teach their pupils about LGBT, they should ensure that this content is fully integrated into their programmes of study for this area of the curriculum rather than delivered as a stand- alone unit or lesson. Schools are free to determine how they do this, and we expect all pupils to have been taught LGBT content at a timely point as part of this area of the curriculum.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pict>
          <v:shape style="position:absolute;margin-left:56.700001pt;margin-top:9.730225pt;width:144pt;height:.1pt;mso-position-horizontal-relative:page;mso-position-vertical-relative:paragraph;z-index:-251645952;mso-wrap-distance-left:0;mso-wrap-distance-right:0" coordorigin="1134,195" coordsize="2880,0" path="m1134,195l4014,195e" filled="false" stroked="true" strokeweight=".6pt" strokecolor="#000000">
            <v:path arrowok="t"/>
            <v:stroke dashstyle="solid"/>
            <w10:wrap type="topAndBottom"/>
          </v:shape>
        </w:pict>
      </w:r>
    </w:p>
    <w:p>
      <w:pPr>
        <w:pStyle w:val="BodyText"/>
        <w:spacing w:before="7"/>
        <w:rPr>
          <w:sz w:val="16"/>
        </w:rPr>
      </w:pPr>
    </w:p>
    <w:p>
      <w:pPr>
        <w:spacing w:before="98"/>
        <w:ind w:left="114" w:right="0" w:firstLine="0"/>
        <w:jc w:val="left"/>
        <w:rPr>
          <w:sz w:val="18"/>
        </w:rPr>
      </w:pPr>
      <w:r>
        <w:rPr>
          <w:position w:val="6"/>
          <w:sz w:val="12"/>
        </w:rPr>
        <w:t>12 </w:t>
      </w:r>
      <w:r>
        <w:rPr>
          <w:sz w:val="18"/>
        </w:rPr>
        <w:t>“Preparing for adulthood” outcomes are set out at section 7.38 of the SEND code of practice: 0 to 25 years.</w:t>
      </w:r>
    </w:p>
    <w:p>
      <w:pPr>
        <w:spacing w:after="0"/>
        <w:jc w:val="left"/>
        <w:rPr>
          <w:sz w:val="18"/>
        </w:rPr>
        <w:sectPr>
          <w:pgSz w:w="11910" w:h="16840"/>
          <w:pgMar w:header="708" w:footer="783" w:top="980" w:bottom="980" w:left="1020" w:right="760"/>
        </w:sectPr>
      </w:pPr>
    </w:p>
    <w:p>
      <w:pPr>
        <w:pStyle w:val="Heading2"/>
        <w:spacing w:before="140"/>
      </w:pPr>
      <w:bookmarkStart w:name="Governors" w:id="40"/>
      <w:bookmarkEnd w:id="40"/>
      <w:r>
        <w:rPr>
          <w:b w:val="0"/>
        </w:rPr>
      </w:r>
      <w:bookmarkStart w:name="_bookmark23" w:id="41"/>
      <w:bookmarkEnd w:id="41"/>
      <w:r>
        <w:rPr>
          <w:b w:val="0"/>
        </w:rPr>
      </w:r>
      <w:r>
        <w:rPr>
          <w:color w:val="02466C"/>
        </w:rPr>
        <w:t>Governors</w:t>
      </w:r>
    </w:p>
    <w:p>
      <w:pPr>
        <w:pStyle w:val="ListParagraph"/>
        <w:numPr>
          <w:ilvl w:val="0"/>
          <w:numId w:val="14"/>
        </w:numPr>
        <w:tabs>
          <w:tab w:pos="833" w:val="left" w:leader="none"/>
          <w:tab w:pos="834" w:val="left" w:leader="none"/>
        </w:tabs>
        <w:spacing w:line="288" w:lineRule="auto" w:before="239" w:after="0"/>
        <w:ind w:left="113" w:right="887" w:firstLine="0"/>
        <w:jc w:val="left"/>
        <w:rPr>
          <w:sz w:val="24"/>
        </w:rPr>
      </w:pPr>
      <w:r>
        <w:rPr>
          <w:sz w:val="24"/>
        </w:rPr>
        <w:t>As well as fulfilling their legal obligations, the governing boards or management committee should also make sure</w:t>
      </w:r>
      <w:r>
        <w:rPr>
          <w:spacing w:val="-2"/>
          <w:sz w:val="24"/>
        </w:rPr>
        <w:t> </w:t>
      </w:r>
      <w:r>
        <w:rPr>
          <w:sz w:val="24"/>
        </w:rPr>
        <w:t>that:</w:t>
      </w:r>
    </w:p>
    <w:p>
      <w:pPr>
        <w:pStyle w:val="ListParagraph"/>
        <w:numPr>
          <w:ilvl w:val="1"/>
          <w:numId w:val="14"/>
        </w:numPr>
        <w:tabs>
          <w:tab w:pos="1193" w:val="left" w:leader="none"/>
          <w:tab w:pos="1194" w:val="left" w:leader="none"/>
        </w:tabs>
        <w:spacing w:line="240" w:lineRule="auto" w:before="239" w:after="0"/>
        <w:ind w:left="1194" w:right="0" w:hanging="361"/>
        <w:jc w:val="left"/>
        <w:rPr>
          <w:sz w:val="24"/>
        </w:rPr>
      </w:pPr>
      <w:r>
        <w:rPr>
          <w:sz w:val="24"/>
        </w:rPr>
        <w:t>all pupils make progress in achieving the expected educational</w:t>
      </w:r>
      <w:r>
        <w:rPr>
          <w:spacing w:val="-12"/>
          <w:sz w:val="24"/>
        </w:rPr>
        <w:t> </w:t>
      </w:r>
      <w:r>
        <w:rPr>
          <w:sz w:val="24"/>
        </w:rPr>
        <w:t>outcomes;</w:t>
      </w:r>
    </w:p>
    <w:p>
      <w:pPr>
        <w:pStyle w:val="ListParagraph"/>
        <w:numPr>
          <w:ilvl w:val="1"/>
          <w:numId w:val="14"/>
        </w:numPr>
        <w:tabs>
          <w:tab w:pos="1193" w:val="left" w:leader="none"/>
          <w:tab w:pos="1194" w:val="left" w:leader="none"/>
        </w:tabs>
        <w:spacing w:line="240" w:lineRule="auto" w:before="173" w:after="0"/>
        <w:ind w:left="1194" w:right="0" w:hanging="361"/>
        <w:jc w:val="left"/>
        <w:rPr>
          <w:sz w:val="24"/>
        </w:rPr>
      </w:pPr>
      <w:r>
        <w:rPr>
          <w:sz w:val="24"/>
        </w:rPr>
        <w:t>the subjects are well led, effectively managed and well</w:t>
      </w:r>
      <w:r>
        <w:rPr>
          <w:spacing w:val="-6"/>
          <w:sz w:val="24"/>
        </w:rPr>
        <w:t> </w:t>
      </w:r>
      <w:r>
        <w:rPr>
          <w:sz w:val="24"/>
        </w:rPr>
        <w:t>planned;</w:t>
      </w:r>
    </w:p>
    <w:p>
      <w:pPr>
        <w:pStyle w:val="ListParagraph"/>
        <w:numPr>
          <w:ilvl w:val="1"/>
          <w:numId w:val="14"/>
        </w:numPr>
        <w:tabs>
          <w:tab w:pos="1193" w:val="left" w:leader="none"/>
          <w:tab w:pos="1194" w:val="left" w:leader="none"/>
        </w:tabs>
        <w:spacing w:line="240" w:lineRule="auto" w:before="173" w:after="0"/>
        <w:ind w:left="1194" w:right="0" w:hanging="361"/>
        <w:jc w:val="left"/>
        <w:rPr>
          <w:sz w:val="24"/>
        </w:rPr>
      </w:pPr>
      <w:r>
        <w:rPr>
          <w:sz w:val="24"/>
        </w:rPr>
        <w:t>the quality of provision is subject to regular and effective</w:t>
      </w:r>
      <w:r>
        <w:rPr>
          <w:spacing w:val="-11"/>
          <w:sz w:val="24"/>
        </w:rPr>
        <w:t> </w:t>
      </w:r>
      <w:r>
        <w:rPr>
          <w:sz w:val="24"/>
        </w:rPr>
        <w:t>self-evaluation;</w:t>
      </w:r>
    </w:p>
    <w:p>
      <w:pPr>
        <w:pStyle w:val="ListParagraph"/>
        <w:numPr>
          <w:ilvl w:val="1"/>
          <w:numId w:val="14"/>
        </w:numPr>
        <w:tabs>
          <w:tab w:pos="1193" w:val="left" w:leader="none"/>
          <w:tab w:pos="1194" w:val="left" w:leader="none"/>
        </w:tabs>
        <w:spacing w:line="240" w:lineRule="auto" w:before="174" w:after="0"/>
        <w:ind w:left="1194" w:right="0" w:hanging="361"/>
        <w:jc w:val="left"/>
        <w:rPr>
          <w:sz w:val="24"/>
        </w:rPr>
      </w:pPr>
      <w:r>
        <w:rPr>
          <w:sz w:val="24"/>
        </w:rPr>
        <w:t>teaching is delivered in ways that are accessible to all pupils with</w:t>
      </w:r>
      <w:r>
        <w:rPr>
          <w:spacing w:val="-13"/>
          <w:sz w:val="24"/>
        </w:rPr>
        <w:t> </w:t>
      </w:r>
      <w:r>
        <w:rPr>
          <w:sz w:val="24"/>
        </w:rPr>
        <w:t>SEND;</w:t>
      </w:r>
    </w:p>
    <w:p>
      <w:pPr>
        <w:pStyle w:val="ListParagraph"/>
        <w:numPr>
          <w:ilvl w:val="1"/>
          <w:numId w:val="14"/>
        </w:numPr>
        <w:tabs>
          <w:tab w:pos="1193" w:val="left" w:leader="none"/>
          <w:tab w:pos="1194" w:val="left" w:leader="none"/>
        </w:tabs>
        <w:spacing w:line="285" w:lineRule="auto" w:before="172" w:after="0"/>
        <w:ind w:left="1193" w:right="632" w:hanging="360"/>
        <w:jc w:val="left"/>
        <w:rPr>
          <w:sz w:val="24"/>
        </w:rPr>
      </w:pPr>
      <w:r>
        <w:rPr>
          <w:sz w:val="24"/>
        </w:rPr>
        <w:t>clear information is provided for parents on the subject content and the right to request that their child is withdrawn;</w:t>
      </w:r>
      <w:r>
        <w:rPr>
          <w:spacing w:val="1"/>
          <w:sz w:val="24"/>
        </w:rPr>
        <w:t> </w:t>
      </w:r>
      <w:r>
        <w:rPr>
          <w:sz w:val="24"/>
        </w:rPr>
        <w:t>and,</w:t>
      </w:r>
    </w:p>
    <w:p>
      <w:pPr>
        <w:pStyle w:val="ListParagraph"/>
        <w:numPr>
          <w:ilvl w:val="1"/>
          <w:numId w:val="14"/>
        </w:numPr>
        <w:tabs>
          <w:tab w:pos="1193" w:val="left" w:leader="none"/>
          <w:tab w:pos="1194" w:val="left" w:leader="none"/>
        </w:tabs>
        <w:spacing w:line="283" w:lineRule="auto" w:before="121" w:after="0"/>
        <w:ind w:left="1193" w:right="807" w:hanging="360"/>
        <w:jc w:val="left"/>
        <w:rPr>
          <w:sz w:val="24"/>
        </w:rPr>
      </w:pPr>
      <w:r>
        <w:rPr>
          <w:sz w:val="24"/>
        </w:rPr>
        <w:t>the subjects are resourced, staffed and timetabled in a way that ensures that the school can fulfil its legal</w:t>
      </w:r>
      <w:r>
        <w:rPr>
          <w:spacing w:val="-2"/>
          <w:sz w:val="24"/>
        </w:rPr>
        <w:t> </w:t>
      </w:r>
      <w:r>
        <w:rPr>
          <w:sz w:val="24"/>
        </w:rPr>
        <w:t>obligations.</w:t>
      </w:r>
    </w:p>
    <w:p>
      <w:pPr>
        <w:pStyle w:val="BodyText"/>
        <w:rPr>
          <w:sz w:val="35"/>
        </w:rPr>
      </w:pPr>
    </w:p>
    <w:p>
      <w:pPr>
        <w:pStyle w:val="ListParagraph"/>
        <w:numPr>
          <w:ilvl w:val="0"/>
          <w:numId w:val="14"/>
        </w:numPr>
        <w:tabs>
          <w:tab w:pos="833" w:val="left" w:leader="none"/>
          <w:tab w:pos="834" w:val="left" w:leader="none"/>
        </w:tabs>
        <w:spacing w:line="288" w:lineRule="auto" w:before="0" w:after="0"/>
        <w:ind w:left="113" w:right="953" w:firstLine="0"/>
        <w:jc w:val="left"/>
        <w:rPr>
          <w:sz w:val="24"/>
        </w:rPr>
      </w:pPr>
      <w:r>
        <w:rPr>
          <w:sz w:val="24"/>
        </w:rPr>
        <w:t>Foundation governors and trustees of faith academy trusts will also have wider responsibilities in relation to maintaining and developing the religious ethos of the schools.</w:t>
      </w:r>
    </w:p>
    <w:p>
      <w:pPr>
        <w:spacing w:after="0" w:line="288" w:lineRule="auto"/>
        <w:jc w:val="left"/>
        <w:rPr>
          <w:sz w:val="24"/>
        </w:rPr>
        <w:sectPr>
          <w:pgSz w:w="11910" w:h="16840"/>
          <w:pgMar w:header="708" w:footer="783" w:top="980" w:bottom="980" w:left="1020" w:right="760"/>
        </w:sectPr>
      </w:pPr>
    </w:p>
    <w:p>
      <w:pPr>
        <w:pStyle w:val="Heading1"/>
      </w:pPr>
      <w:bookmarkStart w:name="Working with parents/carers and the wide" w:id="42"/>
      <w:bookmarkEnd w:id="42"/>
      <w:r>
        <w:rPr>
          <w:b w:val="0"/>
        </w:rPr>
      </w:r>
      <w:bookmarkStart w:name="_bookmark24" w:id="43"/>
      <w:bookmarkEnd w:id="43"/>
      <w:r>
        <w:rPr>
          <w:b w:val="0"/>
        </w:rPr>
      </w:r>
      <w:r>
        <w:rPr>
          <w:color w:val="02466C"/>
        </w:rPr>
        <w:t>Working with parents/carers and the wider community</w:t>
      </w:r>
    </w:p>
    <w:p>
      <w:pPr>
        <w:pStyle w:val="ListParagraph"/>
        <w:numPr>
          <w:ilvl w:val="0"/>
          <w:numId w:val="14"/>
        </w:numPr>
        <w:tabs>
          <w:tab w:pos="833" w:val="left" w:leader="none"/>
          <w:tab w:pos="834" w:val="left" w:leader="none"/>
        </w:tabs>
        <w:spacing w:line="288" w:lineRule="auto" w:before="238" w:after="0"/>
        <w:ind w:left="113" w:right="763" w:firstLine="0"/>
        <w:jc w:val="left"/>
        <w:rPr>
          <w:sz w:val="24"/>
        </w:rPr>
      </w:pPr>
      <w:r>
        <w:rPr>
          <w:sz w:val="24"/>
        </w:rPr>
        <w:t>The role of parents in the development of their children’s understanding about relationships is vital. Parents are the first teachers of their children. They have the most significant influence in enabling their children to grow and mature and to form healthy relationships.</w:t>
      </w:r>
    </w:p>
    <w:p>
      <w:pPr>
        <w:pStyle w:val="ListParagraph"/>
        <w:numPr>
          <w:ilvl w:val="0"/>
          <w:numId w:val="14"/>
        </w:numPr>
        <w:tabs>
          <w:tab w:pos="833" w:val="left" w:leader="none"/>
          <w:tab w:pos="834" w:val="left" w:leader="none"/>
        </w:tabs>
        <w:spacing w:line="288" w:lineRule="auto" w:before="240" w:after="0"/>
        <w:ind w:left="113" w:right="807" w:firstLine="0"/>
        <w:jc w:val="left"/>
        <w:rPr>
          <w:sz w:val="24"/>
        </w:rPr>
      </w:pPr>
      <w:r>
        <w:rPr>
          <w:sz w:val="24"/>
        </w:rPr>
        <w:t>All schools should work closely with parents when planning and delivering these subjects. Schools should ensure that parents know what will be taught and when, and clearly communicate the fact that parents have the right to request that their child be withdrawn from some or all of sex education delivered as part of statutory</w:t>
      </w:r>
      <w:r>
        <w:rPr>
          <w:spacing w:val="-17"/>
          <w:sz w:val="24"/>
        </w:rPr>
        <w:t> </w:t>
      </w:r>
      <w:r>
        <w:rPr>
          <w:sz w:val="24"/>
        </w:rPr>
        <w:t>RSE.</w:t>
      </w:r>
    </w:p>
    <w:p>
      <w:pPr>
        <w:pStyle w:val="ListParagraph"/>
        <w:numPr>
          <w:ilvl w:val="0"/>
          <w:numId w:val="14"/>
        </w:numPr>
        <w:tabs>
          <w:tab w:pos="833" w:val="left" w:leader="none"/>
          <w:tab w:pos="834" w:val="left" w:leader="none"/>
        </w:tabs>
        <w:spacing w:line="288" w:lineRule="auto" w:before="240" w:after="0"/>
        <w:ind w:left="113" w:right="616" w:firstLine="0"/>
        <w:jc w:val="left"/>
        <w:rPr>
          <w:sz w:val="24"/>
        </w:rPr>
      </w:pPr>
      <w:r>
        <w:rPr>
          <w:sz w:val="24"/>
        </w:rPr>
        <w:t>Parents should be given every opportunity to understand the purpose and content of Relationships Education and RSE. Good communication and opportunities for parents to understand and ask questions about the school’s approach help increase confidence in the</w:t>
      </w:r>
      <w:r>
        <w:rPr>
          <w:spacing w:val="-1"/>
          <w:sz w:val="24"/>
        </w:rPr>
        <w:t> </w:t>
      </w:r>
      <w:r>
        <w:rPr>
          <w:sz w:val="24"/>
        </w:rPr>
        <w:t>curriculum.</w:t>
      </w:r>
    </w:p>
    <w:p>
      <w:pPr>
        <w:pStyle w:val="ListParagraph"/>
        <w:numPr>
          <w:ilvl w:val="0"/>
          <w:numId w:val="14"/>
        </w:numPr>
        <w:tabs>
          <w:tab w:pos="833" w:val="left" w:leader="none"/>
          <w:tab w:pos="834" w:val="left" w:leader="none"/>
        </w:tabs>
        <w:spacing w:line="288" w:lineRule="auto" w:before="241" w:after="0"/>
        <w:ind w:left="113" w:right="604" w:firstLine="0"/>
        <w:jc w:val="left"/>
        <w:rPr>
          <w:sz w:val="24"/>
        </w:rPr>
      </w:pPr>
      <w:r>
        <w:rPr>
          <w:sz w:val="24"/>
        </w:rPr>
        <w:t>Many schools build a good relationship with parents on these subjects over time – for example by inviting parents into school to discuss what will be taught, address any concerns and help support parents in managing conversations with their children on these issues. This can be an important opportunity to talk about how these subjects contribute to wider support in terms of pupil wellbeing and keeping children safe. It is important through such processes to reach out to </w:t>
      </w:r>
      <w:r>
        <w:rPr>
          <w:i/>
          <w:sz w:val="24"/>
        </w:rPr>
        <w:t>all </w:t>
      </w:r>
      <w:r>
        <w:rPr>
          <w:sz w:val="24"/>
        </w:rPr>
        <w:t>parents, recognising that a range of approaches may be needed for doing</w:t>
      </w:r>
      <w:r>
        <w:rPr>
          <w:spacing w:val="-1"/>
          <w:sz w:val="24"/>
        </w:rPr>
        <w:t> </w:t>
      </w:r>
      <w:r>
        <w:rPr>
          <w:sz w:val="24"/>
        </w:rPr>
        <w:t>so.</w:t>
      </w:r>
    </w:p>
    <w:p>
      <w:pPr>
        <w:pStyle w:val="ListParagraph"/>
        <w:numPr>
          <w:ilvl w:val="0"/>
          <w:numId w:val="14"/>
        </w:numPr>
        <w:tabs>
          <w:tab w:pos="833" w:val="left" w:leader="none"/>
          <w:tab w:pos="834" w:val="left" w:leader="none"/>
        </w:tabs>
        <w:spacing w:line="288" w:lineRule="auto" w:before="240" w:after="0"/>
        <w:ind w:left="113" w:right="1179" w:firstLine="0"/>
        <w:jc w:val="left"/>
        <w:rPr>
          <w:sz w:val="24"/>
        </w:rPr>
      </w:pPr>
      <w:r>
        <w:rPr>
          <w:sz w:val="24"/>
        </w:rPr>
        <w:t>Many schools will have existing mechanisms in place to engage parents and should continue to draw on these as they respond to the new legal</w:t>
      </w:r>
      <w:r>
        <w:rPr>
          <w:spacing w:val="-21"/>
          <w:sz w:val="24"/>
        </w:rPr>
        <w:t> </w:t>
      </w:r>
      <w:r>
        <w:rPr>
          <w:sz w:val="24"/>
        </w:rPr>
        <w:t>framework.</w:t>
      </w:r>
    </w:p>
    <w:p>
      <w:pPr>
        <w:pStyle w:val="BodyText"/>
        <w:spacing w:before="9"/>
        <w:rPr>
          <w:sz w:val="41"/>
        </w:rPr>
      </w:pPr>
    </w:p>
    <w:p>
      <w:pPr>
        <w:pStyle w:val="Heading2"/>
        <w:spacing w:before="0"/>
        <w:ind w:right="838"/>
      </w:pPr>
      <w:bookmarkStart w:name="Right to be excused from sex education (" w:id="44"/>
      <w:bookmarkEnd w:id="44"/>
      <w:r>
        <w:rPr>
          <w:b w:val="0"/>
        </w:rPr>
      </w:r>
      <w:bookmarkStart w:name="_bookmark25" w:id="45"/>
      <w:bookmarkEnd w:id="45"/>
      <w:r>
        <w:rPr>
          <w:b w:val="0"/>
        </w:rPr>
      </w:r>
      <w:r>
        <w:rPr>
          <w:color w:val="02466C"/>
        </w:rPr>
        <w:t>Right to be excused from sex education (commonly referred to as the right to withdraw)</w:t>
      </w:r>
    </w:p>
    <w:p>
      <w:pPr>
        <w:pStyle w:val="ListParagraph"/>
        <w:numPr>
          <w:ilvl w:val="0"/>
          <w:numId w:val="14"/>
        </w:numPr>
        <w:tabs>
          <w:tab w:pos="833" w:val="left" w:leader="none"/>
          <w:tab w:pos="834" w:val="left" w:leader="none"/>
        </w:tabs>
        <w:spacing w:line="288" w:lineRule="auto" w:before="239" w:after="0"/>
        <w:ind w:left="113" w:right="711" w:firstLine="0"/>
        <w:jc w:val="left"/>
        <w:rPr>
          <w:sz w:val="24"/>
        </w:rPr>
      </w:pPr>
      <w:r>
        <w:rPr>
          <w:sz w:val="24"/>
        </w:rPr>
        <w:t>Parents have the right to request that their child be withdrawn from some or all of sex education delivered as part of statutory RSE. Before granting any such request it would be good practice for the head teacher to discuss the request with parents and, as appropriate, with the child to ensure that their wishes are understood and to clarify the nature and purpose of the curriculum. Schools will want to document this process to ensure a record is</w:t>
      </w:r>
      <w:r>
        <w:rPr>
          <w:spacing w:val="-1"/>
          <w:sz w:val="24"/>
        </w:rPr>
        <w:t> </w:t>
      </w:r>
      <w:r>
        <w:rPr>
          <w:sz w:val="24"/>
        </w:rPr>
        <w:t>kept.</w:t>
      </w:r>
    </w:p>
    <w:p>
      <w:pPr>
        <w:pStyle w:val="ListParagraph"/>
        <w:numPr>
          <w:ilvl w:val="0"/>
          <w:numId w:val="14"/>
        </w:numPr>
        <w:tabs>
          <w:tab w:pos="833" w:val="left" w:leader="none"/>
          <w:tab w:pos="834" w:val="left" w:leader="none"/>
        </w:tabs>
        <w:spacing w:line="288" w:lineRule="auto" w:before="240" w:after="0"/>
        <w:ind w:left="113" w:right="538" w:firstLine="0"/>
        <w:jc w:val="left"/>
        <w:rPr>
          <w:sz w:val="24"/>
        </w:rPr>
      </w:pPr>
      <w:r>
        <w:rPr>
          <w:sz w:val="24"/>
        </w:rPr>
        <w:t>Good practice is also likely to include the head teacher discussing with parents the benefits of receiving this important education and any detrimental effects that withdrawal might have on the child. This could include any social and emotional effects of being excluded, as well as the likelihood of the child hearing their peers’ version of what was said in the classes, rather than what was directly said by the teacher (although</w:t>
      </w:r>
      <w:r>
        <w:rPr>
          <w:spacing w:val="-18"/>
          <w:sz w:val="24"/>
        </w:rPr>
        <w:t> </w:t>
      </w:r>
      <w:r>
        <w:rPr>
          <w:sz w:val="24"/>
        </w:rPr>
        <w:t>the</w:t>
      </w:r>
    </w:p>
    <w:p>
      <w:pPr>
        <w:spacing w:after="0" w:line="288" w:lineRule="auto"/>
        <w:jc w:val="left"/>
        <w:rPr>
          <w:sz w:val="24"/>
        </w:rPr>
        <w:sectPr>
          <w:pgSz w:w="11910" w:h="16840"/>
          <w:pgMar w:header="708" w:footer="783" w:top="980" w:bottom="980" w:left="1020" w:right="760"/>
        </w:sectPr>
      </w:pPr>
    </w:p>
    <w:p>
      <w:pPr>
        <w:pStyle w:val="BodyText"/>
        <w:spacing w:line="288" w:lineRule="auto" w:before="138"/>
        <w:ind w:left="114" w:right="897"/>
      </w:pPr>
      <w:r>
        <w:rPr/>
        <w:t>detrimental effects may be mitigated if the parents propose to deliver sex education to their child at home instead).</w:t>
      </w:r>
    </w:p>
    <w:p>
      <w:pPr>
        <w:pStyle w:val="ListParagraph"/>
        <w:numPr>
          <w:ilvl w:val="0"/>
          <w:numId w:val="14"/>
        </w:numPr>
        <w:tabs>
          <w:tab w:pos="833" w:val="left" w:leader="none"/>
          <w:tab w:pos="834" w:val="left" w:leader="none"/>
        </w:tabs>
        <w:spacing w:line="288" w:lineRule="auto" w:before="240" w:after="0"/>
        <w:ind w:left="114" w:right="538" w:firstLine="0"/>
        <w:jc w:val="left"/>
        <w:rPr>
          <w:sz w:val="24"/>
        </w:rPr>
      </w:pPr>
      <w:r>
        <w:rPr>
          <w:sz w:val="24"/>
        </w:rPr>
        <w:t>Once those discussions have taken place, except in exceptional circumstances, the school should respect the parents’ request to withdraw the child, up to and until three terms before the child turns 16. After that point, if the child wishes to receive sex education rather than be withdrawn, the school should make arrangements to provide the child with sex education during one of those</w:t>
      </w:r>
      <w:r>
        <w:rPr>
          <w:spacing w:val="-3"/>
          <w:sz w:val="24"/>
        </w:rPr>
        <w:t> </w:t>
      </w:r>
      <w:r>
        <w:rPr>
          <w:sz w:val="24"/>
        </w:rPr>
        <w:t>terms.</w:t>
      </w:r>
    </w:p>
    <w:p>
      <w:pPr>
        <w:pStyle w:val="ListParagraph"/>
        <w:numPr>
          <w:ilvl w:val="0"/>
          <w:numId w:val="14"/>
        </w:numPr>
        <w:tabs>
          <w:tab w:pos="833" w:val="left" w:leader="none"/>
          <w:tab w:pos="834" w:val="left" w:leader="none"/>
        </w:tabs>
        <w:spacing w:line="288" w:lineRule="auto" w:before="240" w:after="0"/>
        <w:ind w:left="114" w:right="543" w:firstLine="0"/>
        <w:jc w:val="left"/>
        <w:rPr>
          <w:sz w:val="24"/>
        </w:rPr>
      </w:pPr>
      <w:r>
        <w:rPr>
          <w:sz w:val="24"/>
        </w:rPr>
        <w:t>This process is the same for pupils with SEND. However there may be exceptional circumstances where the head teacher may want to take a pupil’s specific needs arising from their SEND into account when making this decision. The approach outlined above should be reflected in the school’s policy on</w:t>
      </w:r>
      <w:r>
        <w:rPr>
          <w:spacing w:val="-2"/>
          <w:sz w:val="24"/>
        </w:rPr>
        <w:t> </w:t>
      </w:r>
      <w:r>
        <w:rPr>
          <w:sz w:val="24"/>
        </w:rPr>
        <w:t>RSE.</w:t>
      </w:r>
    </w:p>
    <w:p>
      <w:pPr>
        <w:pStyle w:val="ListParagraph"/>
        <w:numPr>
          <w:ilvl w:val="0"/>
          <w:numId w:val="14"/>
        </w:numPr>
        <w:tabs>
          <w:tab w:pos="833" w:val="left" w:leader="none"/>
          <w:tab w:pos="834" w:val="left" w:leader="none"/>
        </w:tabs>
        <w:spacing w:line="288" w:lineRule="auto" w:before="240" w:after="0"/>
        <w:ind w:left="114" w:right="685" w:firstLine="0"/>
        <w:jc w:val="left"/>
        <w:rPr>
          <w:sz w:val="24"/>
        </w:rPr>
      </w:pPr>
      <w:r>
        <w:rPr>
          <w:sz w:val="24"/>
        </w:rPr>
        <w:t>Head teachers will automatically grant a request to withdraw a pupil from any sex education delivered in primary schools, other than as part of the science</w:t>
      </w:r>
      <w:r>
        <w:rPr>
          <w:spacing w:val="-23"/>
          <w:sz w:val="24"/>
        </w:rPr>
        <w:t> </w:t>
      </w:r>
      <w:r>
        <w:rPr>
          <w:sz w:val="24"/>
        </w:rPr>
        <w:t>curriculum.</w:t>
      </w:r>
    </w:p>
    <w:p>
      <w:pPr>
        <w:pStyle w:val="ListParagraph"/>
        <w:numPr>
          <w:ilvl w:val="0"/>
          <w:numId w:val="14"/>
        </w:numPr>
        <w:tabs>
          <w:tab w:pos="833" w:val="left" w:leader="none"/>
          <w:tab w:pos="834" w:val="left" w:leader="none"/>
        </w:tabs>
        <w:spacing w:line="288" w:lineRule="auto" w:before="241" w:after="0"/>
        <w:ind w:left="114" w:right="632" w:firstLine="0"/>
        <w:jc w:val="left"/>
        <w:rPr>
          <w:sz w:val="24"/>
        </w:rPr>
      </w:pPr>
      <w:r>
        <w:rPr>
          <w:sz w:val="24"/>
        </w:rPr>
        <w:t>If a pupil is excused from sex education, it is the school’s responsibility to ensure that the pupil receives appropriate, purposeful education during the period of withdrawal. There is no right to withdraw from Relationships Education or Health</w:t>
      </w:r>
      <w:r>
        <w:rPr>
          <w:spacing w:val="-17"/>
          <w:sz w:val="24"/>
        </w:rPr>
        <w:t> </w:t>
      </w:r>
      <w:r>
        <w:rPr>
          <w:sz w:val="24"/>
        </w:rPr>
        <w:t>Education.</w:t>
      </w:r>
    </w:p>
    <w:p>
      <w:pPr>
        <w:pStyle w:val="BodyText"/>
        <w:spacing w:before="10"/>
        <w:rPr>
          <w:sz w:val="41"/>
        </w:rPr>
      </w:pPr>
    </w:p>
    <w:p>
      <w:pPr>
        <w:pStyle w:val="Heading2"/>
        <w:spacing w:before="0"/>
      </w:pPr>
      <w:bookmarkStart w:name="Working with external agencies" w:id="46"/>
      <w:bookmarkEnd w:id="46"/>
      <w:r>
        <w:rPr>
          <w:b w:val="0"/>
        </w:rPr>
      </w:r>
      <w:bookmarkStart w:name="_bookmark26" w:id="47"/>
      <w:bookmarkEnd w:id="47"/>
      <w:r>
        <w:rPr>
          <w:b w:val="0"/>
        </w:rPr>
      </w:r>
      <w:r>
        <w:rPr>
          <w:color w:val="02466C"/>
        </w:rPr>
        <w:t>Working with external agencies</w:t>
      </w:r>
    </w:p>
    <w:p>
      <w:pPr>
        <w:pStyle w:val="ListParagraph"/>
        <w:numPr>
          <w:ilvl w:val="0"/>
          <w:numId w:val="14"/>
        </w:numPr>
        <w:tabs>
          <w:tab w:pos="833" w:val="left" w:leader="none"/>
          <w:tab w:pos="834" w:val="left" w:leader="none"/>
        </w:tabs>
        <w:spacing w:line="288" w:lineRule="auto" w:before="237" w:after="0"/>
        <w:ind w:left="113" w:right="1231" w:firstLine="0"/>
        <w:jc w:val="left"/>
        <w:rPr>
          <w:sz w:val="24"/>
        </w:rPr>
      </w:pPr>
      <w:r>
        <w:rPr>
          <w:sz w:val="24"/>
        </w:rPr>
        <w:t>Working with external organisations can enhance delivery of these subjects, bringing in specialist knowledge and different ways of engaging with young</w:t>
      </w:r>
      <w:r>
        <w:rPr>
          <w:spacing w:val="-39"/>
          <w:sz w:val="24"/>
        </w:rPr>
        <w:t> </w:t>
      </w:r>
      <w:r>
        <w:rPr>
          <w:sz w:val="24"/>
        </w:rPr>
        <w:t>people.</w:t>
      </w:r>
    </w:p>
    <w:p>
      <w:pPr>
        <w:pStyle w:val="ListParagraph"/>
        <w:numPr>
          <w:ilvl w:val="0"/>
          <w:numId w:val="14"/>
        </w:numPr>
        <w:tabs>
          <w:tab w:pos="833" w:val="left" w:leader="none"/>
          <w:tab w:pos="834" w:val="left" w:leader="none"/>
        </w:tabs>
        <w:spacing w:line="288" w:lineRule="auto" w:before="240" w:after="0"/>
        <w:ind w:left="113" w:right="606" w:firstLine="0"/>
        <w:jc w:val="left"/>
        <w:rPr>
          <w:sz w:val="24"/>
        </w:rPr>
      </w:pPr>
      <w:r>
        <w:rPr>
          <w:sz w:val="24"/>
        </w:rPr>
        <w:t>As with any visitor, schools are responsible for ensuring that they check the visitor or visiting organisation’s credentials. Schools should also ensure that the teaching delivered by the visitor fits with their planned programme and their published policy. It is important that schools discuss the detail of how the visitor will deliver their sessions and ensure that the content is age-appropriate and accessible for the pupils. Schools should ask to see the materials visitors will use as well as a lesson plan in advance, so that they can ensure it meets the full range of pupils’ needs (e.g. special educational needs). It is important to agree how confidentiality will work in any lesson and that the visitor understands how safeguarding reports should be dealt with in line with school policy. Further information for teachers in handling potential safeguarding or child protection reports is on page</w:t>
      </w:r>
      <w:r>
        <w:rPr>
          <w:spacing w:val="-1"/>
          <w:sz w:val="24"/>
        </w:rPr>
        <w:t> </w:t>
      </w:r>
      <w:r>
        <w:rPr>
          <w:sz w:val="24"/>
        </w:rPr>
        <w:t>35.</w:t>
      </w:r>
    </w:p>
    <w:p>
      <w:pPr>
        <w:pStyle w:val="ListParagraph"/>
        <w:numPr>
          <w:ilvl w:val="0"/>
          <w:numId w:val="14"/>
        </w:numPr>
        <w:tabs>
          <w:tab w:pos="833" w:val="left" w:leader="none"/>
          <w:tab w:pos="834" w:val="left" w:leader="none"/>
        </w:tabs>
        <w:spacing w:line="288" w:lineRule="auto" w:before="241" w:after="0"/>
        <w:ind w:left="113" w:right="899" w:firstLine="0"/>
        <w:jc w:val="left"/>
        <w:rPr>
          <w:sz w:val="24"/>
        </w:rPr>
      </w:pPr>
      <w:r>
        <w:rPr>
          <w:sz w:val="24"/>
        </w:rPr>
        <w:t>Use of visitors should be to enhance teaching by an appropriate member of the teaching staff, rather than as a replacement for teaching by those</w:t>
      </w:r>
      <w:r>
        <w:rPr>
          <w:spacing w:val="-11"/>
          <w:sz w:val="24"/>
        </w:rPr>
        <w:t> </w:t>
      </w:r>
      <w:r>
        <w:rPr>
          <w:sz w:val="24"/>
        </w:rPr>
        <w:t>staff.</w:t>
      </w:r>
    </w:p>
    <w:p>
      <w:pPr>
        <w:spacing w:after="0" w:line="288" w:lineRule="auto"/>
        <w:jc w:val="left"/>
        <w:rPr>
          <w:sz w:val="24"/>
        </w:rPr>
        <w:sectPr>
          <w:pgSz w:w="11910" w:h="16840"/>
          <w:pgMar w:header="708" w:footer="783" w:top="980" w:bottom="980" w:left="1020" w:right="760"/>
        </w:sectPr>
      </w:pPr>
    </w:p>
    <w:p>
      <w:pPr>
        <w:pStyle w:val="Heading1"/>
      </w:pPr>
      <w:bookmarkStart w:name="Relationships Education (Primary)" w:id="48"/>
      <w:bookmarkEnd w:id="48"/>
      <w:r>
        <w:rPr>
          <w:b w:val="0"/>
        </w:rPr>
      </w:r>
      <w:bookmarkStart w:name="_bookmark27" w:id="49"/>
      <w:bookmarkEnd w:id="49"/>
      <w:r>
        <w:rPr>
          <w:b w:val="0"/>
        </w:rPr>
      </w:r>
      <w:r>
        <w:rPr>
          <w:color w:val="02466C"/>
        </w:rPr>
        <w:t>Relationships Education (Primary)</w:t>
      </w:r>
    </w:p>
    <w:p>
      <w:pPr>
        <w:pStyle w:val="ListParagraph"/>
        <w:numPr>
          <w:ilvl w:val="0"/>
          <w:numId w:val="14"/>
        </w:numPr>
        <w:tabs>
          <w:tab w:pos="833" w:val="left" w:leader="none"/>
          <w:tab w:pos="834" w:val="left" w:leader="none"/>
        </w:tabs>
        <w:spacing w:line="288" w:lineRule="auto" w:before="238" w:after="0"/>
        <w:ind w:left="113" w:right="979" w:firstLine="0"/>
        <w:jc w:val="left"/>
        <w:rPr>
          <w:sz w:val="24"/>
        </w:rPr>
      </w:pPr>
      <w:r>
        <w:rPr>
          <w:sz w:val="24"/>
        </w:rPr>
        <w:t>The focus in primary school should be on teaching the fundamental building blocks and characteristics of positive relationships, with particular reference to friendships, family relationships, and relationships with other children and with</w:t>
      </w:r>
      <w:r>
        <w:rPr>
          <w:spacing w:val="-40"/>
          <w:sz w:val="24"/>
        </w:rPr>
        <w:t> </w:t>
      </w:r>
      <w:r>
        <w:rPr>
          <w:sz w:val="24"/>
        </w:rPr>
        <w:t>adults.</w:t>
      </w:r>
    </w:p>
    <w:p>
      <w:pPr>
        <w:pStyle w:val="ListParagraph"/>
        <w:numPr>
          <w:ilvl w:val="0"/>
          <w:numId w:val="14"/>
        </w:numPr>
        <w:tabs>
          <w:tab w:pos="833" w:val="left" w:leader="none"/>
          <w:tab w:pos="834" w:val="left" w:leader="none"/>
        </w:tabs>
        <w:spacing w:line="288" w:lineRule="auto" w:before="240" w:after="0"/>
        <w:ind w:left="113" w:right="551" w:firstLine="0"/>
        <w:jc w:val="left"/>
        <w:rPr>
          <w:sz w:val="24"/>
        </w:rPr>
      </w:pPr>
      <w:r>
        <w:rPr>
          <w:sz w:val="24"/>
        </w:rPr>
        <w:t>This starts with pupils being taught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the concept of personal privacy. Establishing personal space and boundaries, showing respect and understanding the differences between appropriate and inappropriate or unsafe physical, and other, contact – these are the forerunners of teaching about consent, which takes place at secondary.</w:t>
      </w:r>
    </w:p>
    <w:p>
      <w:pPr>
        <w:pStyle w:val="ListParagraph"/>
        <w:numPr>
          <w:ilvl w:val="0"/>
          <w:numId w:val="14"/>
        </w:numPr>
        <w:tabs>
          <w:tab w:pos="833" w:val="left" w:leader="none"/>
          <w:tab w:pos="834" w:val="left" w:leader="none"/>
        </w:tabs>
        <w:spacing w:line="288" w:lineRule="auto" w:before="241" w:after="0"/>
        <w:ind w:left="113" w:right="952" w:firstLine="0"/>
        <w:jc w:val="left"/>
        <w:rPr>
          <w:sz w:val="24"/>
        </w:rPr>
      </w:pPr>
      <w:r>
        <w:rPr>
          <w:sz w:val="24"/>
        </w:rPr>
        <w:t>Respect for others should be taught in an age-appropriate way, in terms of understanding one’s own and others’ boundaries in play, in negotiations about space, toys, books, resources and so on.</w:t>
      </w:r>
    </w:p>
    <w:p>
      <w:pPr>
        <w:pStyle w:val="ListParagraph"/>
        <w:numPr>
          <w:ilvl w:val="0"/>
          <w:numId w:val="14"/>
        </w:numPr>
        <w:tabs>
          <w:tab w:pos="833" w:val="left" w:leader="none"/>
          <w:tab w:pos="834" w:val="left" w:leader="none"/>
        </w:tabs>
        <w:spacing w:line="288" w:lineRule="auto" w:before="240" w:after="0"/>
        <w:ind w:left="113" w:right="589" w:firstLine="0"/>
        <w:jc w:val="left"/>
        <w:rPr>
          <w:sz w:val="24"/>
        </w:rPr>
      </w:pPr>
      <w:r>
        <w:rPr>
          <w:sz w:val="24"/>
        </w:rPr>
        <w:t>From the beginning, teachers should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any less positive relationships when they encounter</w:t>
      </w:r>
      <w:r>
        <w:rPr>
          <w:spacing w:val="-1"/>
          <w:sz w:val="24"/>
        </w:rPr>
        <w:t> </w:t>
      </w:r>
      <w:r>
        <w:rPr>
          <w:sz w:val="24"/>
        </w:rPr>
        <w:t>them.</w:t>
      </w:r>
    </w:p>
    <w:p>
      <w:pPr>
        <w:pStyle w:val="ListParagraph"/>
        <w:numPr>
          <w:ilvl w:val="0"/>
          <w:numId w:val="14"/>
        </w:numPr>
        <w:tabs>
          <w:tab w:pos="833" w:val="left" w:leader="none"/>
          <w:tab w:pos="834" w:val="left" w:leader="none"/>
        </w:tabs>
        <w:spacing w:line="288" w:lineRule="auto" w:before="239" w:after="0"/>
        <w:ind w:left="113" w:right="525" w:firstLine="0"/>
        <w:jc w:val="left"/>
        <w:rPr>
          <w:sz w:val="24"/>
        </w:rPr>
      </w:pPr>
      <w:r>
        <w:rPr>
          <w:sz w:val="24"/>
        </w:rPr>
        <w:t>The principles of positive relationships also apply online especially as, by the end of primary school, many children will already be using the internet. When teaching relationships content, teachers should address online safety and appropriate behaviour in a way that is relevant to pupils’ lives. Teachers should include content on how information and data is shared and used in all contexts, including online; for example, sharing pictures, understanding that many websites are businesses and how sites may use information provided by users in ways they might not</w:t>
      </w:r>
      <w:r>
        <w:rPr>
          <w:spacing w:val="-5"/>
          <w:sz w:val="24"/>
        </w:rPr>
        <w:t> </w:t>
      </w:r>
      <w:r>
        <w:rPr>
          <w:sz w:val="24"/>
        </w:rPr>
        <w:t>expect.</w:t>
      </w:r>
    </w:p>
    <w:p>
      <w:pPr>
        <w:pStyle w:val="ListParagraph"/>
        <w:numPr>
          <w:ilvl w:val="0"/>
          <w:numId w:val="14"/>
        </w:numPr>
        <w:tabs>
          <w:tab w:pos="833" w:val="left" w:leader="none"/>
          <w:tab w:pos="834" w:val="left" w:leader="none"/>
        </w:tabs>
        <w:spacing w:line="288" w:lineRule="auto" w:before="240" w:after="0"/>
        <w:ind w:left="113" w:right="551" w:firstLine="0"/>
        <w:jc w:val="left"/>
        <w:rPr>
          <w:sz w:val="24"/>
        </w:rPr>
      </w:pPr>
      <w:r>
        <w:rPr>
          <w:sz w:val="24"/>
        </w:rPr>
        <w:t>Teaching about families requires sensitive and well-judged teaching based on knowledge of pupils and their circumstances. Families of many forms provide a nurturing environment for children. (Families can include for example, single parent families, LGBT parents, families headed by grandparents, adoptive parents, foster parents/carers amongst other structures.) Care needs to be taken to ensure that there is no stigmatisation of children based on their home circumstances and needs, to reflect sensitively that some children may have a different structure of support around them; e.g. looked after children or young carers.</w:t>
      </w:r>
    </w:p>
    <w:p>
      <w:pPr>
        <w:spacing w:after="0" w:line="288" w:lineRule="auto"/>
        <w:jc w:val="left"/>
        <w:rPr>
          <w:sz w:val="24"/>
        </w:rPr>
        <w:sectPr>
          <w:pgSz w:w="11910" w:h="16840"/>
          <w:pgMar w:header="708" w:footer="783" w:top="980" w:bottom="980" w:left="1020" w:right="760"/>
        </w:sectPr>
      </w:pPr>
    </w:p>
    <w:p>
      <w:pPr>
        <w:pStyle w:val="ListParagraph"/>
        <w:numPr>
          <w:ilvl w:val="0"/>
          <w:numId w:val="14"/>
        </w:numPr>
        <w:tabs>
          <w:tab w:pos="833" w:val="left" w:leader="none"/>
          <w:tab w:pos="834" w:val="left" w:leader="none"/>
        </w:tabs>
        <w:spacing w:line="288" w:lineRule="auto" w:before="138" w:after="0"/>
        <w:ind w:left="114" w:right="657" w:firstLine="0"/>
        <w:jc w:val="left"/>
        <w:rPr>
          <w:sz w:val="24"/>
        </w:rPr>
      </w:pPr>
      <w:r>
        <w:rPr>
          <w:sz w:val="24"/>
        </w:rPr>
        <w:t>A growing ability to form strong and positive relationships with others depends on the deliberate cultivation of character traits and positive personal attributes, (sometimes referred to as ‘virtues’) in the individual. In a school wide context which encourages the development and practice of resilience and other attributes, this includes character traits such as helping pupils to believe they can achieve, persevere with tasks, work towards long-term rewards and continue despite setbacks. Alongside understanding the importance of self-respect and self-worth, pupils should develop personal attributes including honesty, integrity, courage, humility, kindness, generosity, trustworthiness and a sense of justice. This can be achieved in a variety of ways including by providing planned opportunities for young people to undertake social action, active citizenship and voluntary service to others locally or more</w:t>
      </w:r>
      <w:r>
        <w:rPr>
          <w:spacing w:val="-1"/>
          <w:sz w:val="24"/>
        </w:rPr>
        <w:t> </w:t>
      </w:r>
      <w:r>
        <w:rPr>
          <w:sz w:val="24"/>
        </w:rPr>
        <w:t>widely.</w:t>
      </w:r>
    </w:p>
    <w:p>
      <w:pPr>
        <w:pStyle w:val="ListParagraph"/>
        <w:numPr>
          <w:ilvl w:val="0"/>
          <w:numId w:val="14"/>
        </w:numPr>
        <w:tabs>
          <w:tab w:pos="833" w:val="left" w:leader="none"/>
          <w:tab w:pos="834" w:val="left" w:leader="none"/>
        </w:tabs>
        <w:spacing w:line="288" w:lineRule="auto" w:before="240" w:after="0"/>
        <w:ind w:left="114" w:right="687" w:firstLine="0"/>
        <w:jc w:val="left"/>
        <w:rPr>
          <w:sz w:val="24"/>
        </w:rPr>
      </w:pPr>
      <w:r>
        <w:rPr>
          <w:sz w:val="24"/>
        </w:rPr>
        <w:t>Relationships Education also creates an opportunity to enable pupils to be taught about positive emotional and mental wellbeing, including how friendships can support mental</w:t>
      </w:r>
      <w:r>
        <w:rPr>
          <w:spacing w:val="-1"/>
          <w:sz w:val="24"/>
        </w:rPr>
        <w:t> </w:t>
      </w:r>
      <w:r>
        <w:rPr>
          <w:sz w:val="24"/>
        </w:rPr>
        <w:t>wellbeing.</w:t>
      </w:r>
    </w:p>
    <w:p>
      <w:pPr>
        <w:pStyle w:val="ListParagraph"/>
        <w:numPr>
          <w:ilvl w:val="0"/>
          <w:numId w:val="14"/>
        </w:numPr>
        <w:tabs>
          <w:tab w:pos="833" w:val="left" w:leader="none"/>
          <w:tab w:pos="834" w:val="left" w:leader="none"/>
        </w:tabs>
        <w:spacing w:line="288" w:lineRule="auto" w:before="241" w:after="0"/>
        <w:ind w:left="114" w:right="562" w:firstLine="0"/>
        <w:jc w:val="left"/>
        <w:rPr>
          <w:sz w:val="24"/>
        </w:rPr>
      </w:pPr>
      <w:r>
        <w:rPr>
          <w:sz w:val="24"/>
        </w:rPr>
        <w:t>Through Relationships Education (and RSE), schools should teach pupils the knowledge they need to recognise and to report abuse, including emotional, physical and sexual abuse. In primary schools, this can be delivered by focusing on boundaries and privacy, ensuring young people understand that they have rights over their own bodies. This should also include understanding boundaries in friendships with peers and also in families and with others, in all contexts, including online. Pupils should know how to report concerns and seek advice when they suspect or know that something is wrong. At all stages it will be important to balance teaching children about making sensible decisions to stay safe (including online) whilst being clear it is never the fault of a child who is abused and why victim blaming is always wrong. These subjects complement Health Education and as part of a comprehensive programme and whole school approach, this knowledge can support safeguarding of</w:t>
      </w:r>
      <w:r>
        <w:rPr>
          <w:spacing w:val="-3"/>
          <w:sz w:val="24"/>
        </w:rPr>
        <w:t> </w:t>
      </w:r>
      <w:r>
        <w:rPr>
          <w:sz w:val="24"/>
        </w:rPr>
        <w:t>children.</w:t>
      </w:r>
    </w:p>
    <w:p>
      <w:pPr>
        <w:pStyle w:val="BodyText"/>
        <w:spacing w:before="3"/>
        <w:rPr>
          <w:sz w:val="31"/>
        </w:rPr>
      </w:pPr>
    </w:p>
    <w:p>
      <w:pPr>
        <w:pStyle w:val="Heading3"/>
        <w:spacing w:before="0"/>
        <w:ind w:left="114"/>
      </w:pPr>
      <w:bookmarkStart w:name="By the end of primary school:" w:id="50"/>
      <w:bookmarkEnd w:id="50"/>
      <w:r>
        <w:rPr>
          <w:b w:val="0"/>
        </w:rPr>
      </w:r>
      <w:bookmarkStart w:name="_bookmark28" w:id="51"/>
      <w:bookmarkEnd w:id="51"/>
      <w:r>
        <w:rPr>
          <w:b w:val="0"/>
        </w:rPr>
      </w:r>
      <w:r>
        <w:rPr>
          <w:color w:val="02466C"/>
        </w:rPr>
        <w:t>By the end of primary school:</w:t>
      </w:r>
    </w:p>
    <w:p>
      <w:pPr>
        <w:pStyle w:val="BodyText"/>
        <w:spacing w:after="1"/>
        <w:rPr>
          <w:b/>
          <w:sz w:val="2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7655"/>
      </w:tblGrid>
      <w:tr>
        <w:trPr>
          <w:trHeight w:val="3680" w:hRule="atLeast"/>
        </w:trPr>
        <w:tc>
          <w:tcPr>
            <w:tcW w:w="1843" w:type="dxa"/>
          </w:tcPr>
          <w:p>
            <w:pPr>
              <w:pStyle w:val="TableParagraph"/>
              <w:spacing w:line="288" w:lineRule="auto"/>
              <w:ind w:left="107" w:right="252"/>
              <w:rPr>
                <w:b/>
                <w:sz w:val="24"/>
              </w:rPr>
            </w:pPr>
            <w:r>
              <w:rPr>
                <w:b/>
                <w:sz w:val="24"/>
              </w:rPr>
              <w:t>Families and people who care for me</w:t>
            </w:r>
          </w:p>
        </w:tc>
        <w:tc>
          <w:tcPr>
            <w:tcW w:w="7655" w:type="dxa"/>
          </w:tcPr>
          <w:p>
            <w:pPr>
              <w:pStyle w:val="TableParagraph"/>
              <w:spacing w:line="275" w:lineRule="exact"/>
              <w:ind w:left="107"/>
              <w:rPr>
                <w:sz w:val="24"/>
              </w:rPr>
            </w:pPr>
            <w:r>
              <w:rPr>
                <w:sz w:val="24"/>
              </w:rPr>
              <w:t>Pupils should know</w:t>
            </w:r>
          </w:p>
          <w:p>
            <w:pPr>
              <w:pStyle w:val="TableParagraph"/>
              <w:numPr>
                <w:ilvl w:val="0"/>
                <w:numId w:val="16"/>
              </w:numPr>
              <w:tabs>
                <w:tab w:pos="467" w:val="left" w:leader="none"/>
                <w:tab w:pos="468" w:val="left" w:leader="none"/>
              </w:tabs>
              <w:spacing w:line="242" w:lineRule="auto" w:before="227" w:after="0"/>
              <w:ind w:left="468" w:right="425" w:hanging="360"/>
              <w:jc w:val="left"/>
              <w:rPr>
                <w:sz w:val="24"/>
              </w:rPr>
            </w:pPr>
            <w:r>
              <w:rPr>
                <w:sz w:val="24"/>
              </w:rPr>
              <w:t>that families are important for children growing up because</w:t>
            </w:r>
            <w:r>
              <w:rPr>
                <w:spacing w:val="-30"/>
                <w:sz w:val="24"/>
              </w:rPr>
              <w:t> </w:t>
            </w:r>
            <w:r>
              <w:rPr>
                <w:sz w:val="24"/>
              </w:rPr>
              <w:t>they can give love, security and</w:t>
            </w:r>
            <w:r>
              <w:rPr>
                <w:spacing w:val="-2"/>
                <w:sz w:val="24"/>
              </w:rPr>
              <w:t> </w:t>
            </w:r>
            <w:r>
              <w:rPr>
                <w:sz w:val="24"/>
              </w:rPr>
              <w:t>stability.</w:t>
            </w:r>
          </w:p>
          <w:p>
            <w:pPr>
              <w:pStyle w:val="TableParagraph"/>
              <w:numPr>
                <w:ilvl w:val="0"/>
                <w:numId w:val="16"/>
              </w:numPr>
              <w:tabs>
                <w:tab w:pos="467" w:val="left" w:leader="none"/>
                <w:tab w:pos="468" w:val="left" w:leader="none"/>
              </w:tabs>
              <w:spacing w:line="242" w:lineRule="auto" w:before="105" w:after="0"/>
              <w:ind w:left="467" w:right="465" w:hanging="360"/>
              <w:jc w:val="left"/>
              <w:rPr>
                <w:sz w:val="24"/>
              </w:rPr>
            </w:pPr>
            <w:r>
              <w:rPr>
                <w:sz w:val="24"/>
              </w:rPr>
              <w:t>the characteristics of healthy family life, commitment to each other, including in times of difficulty, protection and care for children and other family members, the importance of spending time together and sharing each other’s</w:t>
            </w:r>
            <w:r>
              <w:rPr>
                <w:spacing w:val="-3"/>
                <w:sz w:val="24"/>
              </w:rPr>
              <w:t> </w:t>
            </w:r>
            <w:r>
              <w:rPr>
                <w:sz w:val="24"/>
              </w:rPr>
              <w:t>lives.</w:t>
            </w:r>
          </w:p>
          <w:p>
            <w:pPr>
              <w:pStyle w:val="TableParagraph"/>
              <w:numPr>
                <w:ilvl w:val="0"/>
                <w:numId w:val="16"/>
              </w:numPr>
              <w:tabs>
                <w:tab w:pos="467" w:val="left" w:leader="none"/>
                <w:tab w:pos="468" w:val="left" w:leader="none"/>
              </w:tabs>
              <w:spacing w:line="242" w:lineRule="auto" w:before="106" w:after="0"/>
              <w:ind w:left="467" w:right="360" w:hanging="360"/>
              <w:jc w:val="left"/>
              <w:rPr>
                <w:sz w:val="24"/>
              </w:rPr>
            </w:pPr>
            <w:r>
              <w:rPr>
                <w:sz w:val="24"/>
              </w:rPr>
              <w:t>that others’ families, either in school or in the wider world, sometimes look different from their family, but that they should respect those differences and know that other children’s</w:t>
            </w:r>
            <w:r>
              <w:rPr>
                <w:spacing w:val="-30"/>
                <w:sz w:val="24"/>
              </w:rPr>
              <w:t> </w:t>
            </w:r>
            <w:r>
              <w:rPr>
                <w:sz w:val="24"/>
              </w:rPr>
              <w:t>families are also characterised by love and</w:t>
            </w:r>
            <w:r>
              <w:rPr>
                <w:spacing w:val="-3"/>
                <w:sz w:val="24"/>
              </w:rPr>
              <w:t> </w:t>
            </w:r>
            <w:r>
              <w:rPr>
                <w:sz w:val="24"/>
              </w:rPr>
              <w:t>care.</w:t>
            </w:r>
          </w:p>
        </w:tc>
      </w:tr>
    </w:tbl>
    <w:p>
      <w:pPr>
        <w:spacing w:after="0" w:line="242" w:lineRule="auto"/>
        <w:jc w:val="left"/>
        <w:rPr>
          <w:sz w:val="24"/>
        </w:rPr>
        <w:sectPr>
          <w:pgSz w:w="11910" w:h="16840"/>
          <w:pgMar w:header="708" w:footer="783" w:top="980" w:bottom="980" w:left="1020" w:right="760"/>
        </w:sectPr>
      </w:pPr>
    </w:p>
    <w:p>
      <w:pPr>
        <w:pStyle w:val="BodyText"/>
        <w:spacing w:before="2"/>
        <w:rPr>
          <w:b/>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7655"/>
      </w:tblGrid>
      <w:tr>
        <w:trPr>
          <w:trHeight w:val="2879" w:hRule="atLeast"/>
        </w:trPr>
        <w:tc>
          <w:tcPr>
            <w:tcW w:w="1843" w:type="dxa"/>
          </w:tcPr>
          <w:p>
            <w:pPr>
              <w:pStyle w:val="TableParagraph"/>
              <w:ind w:left="0"/>
              <w:rPr>
                <w:rFonts w:ascii="Times New Roman"/>
                <w:sz w:val="22"/>
              </w:rPr>
            </w:pPr>
          </w:p>
        </w:tc>
        <w:tc>
          <w:tcPr>
            <w:tcW w:w="7655" w:type="dxa"/>
          </w:tcPr>
          <w:p>
            <w:pPr>
              <w:pStyle w:val="TableParagraph"/>
              <w:numPr>
                <w:ilvl w:val="0"/>
                <w:numId w:val="17"/>
              </w:numPr>
              <w:tabs>
                <w:tab w:pos="467" w:val="left" w:leader="none"/>
                <w:tab w:pos="468" w:val="left" w:leader="none"/>
              </w:tabs>
              <w:spacing w:line="277" w:lineRule="exact" w:before="0" w:after="0"/>
              <w:ind w:left="468" w:right="0" w:hanging="361"/>
              <w:jc w:val="left"/>
              <w:rPr>
                <w:sz w:val="24"/>
              </w:rPr>
            </w:pPr>
            <w:r>
              <w:rPr>
                <w:sz w:val="24"/>
              </w:rPr>
              <w:t>that stable, caring relationships, which may be of different</w:t>
            </w:r>
            <w:r>
              <w:rPr>
                <w:spacing w:val="-18"/>
                <w:sz w:val="24"/>
              </w:rPr>
              <w:t> </w:t>
            </w:r>
            <w:r>
              <w:rPr>
                <w:sz w:val="24"/>
              </w:rPr>
              <w:t>types,</w:t>
            </w:r>
          </w:p>
          <w:p>
            <w:pPr>
              <w:pStyle w:val="TableParagraph"/>
              <w:spacing w:line="242" w:lineRule="auto" w:before="3"/>
              <w:ind w:right="220"/>
              <w:rPr>
                <w:sz w:val="24"/>
              </w:rPr>
            </w:pPr>
            <w:r>
              <w:rPr>
                <w:sz w:val="24"/>
              </w:rPr>
              <w:t>are at the heart of happy families, and are important for children’s security as they grow up.</w:t>
            </w:r>
          </w:p>
          <w:p>
            <w:pPr>
              <w:pStyle w:val="TableParagraph"/>
              <w:numPr>
                <w:ilvl w:val="0"/>
                <w:numId w:val="17"/>
              </w:numPr>
              <w:tabs>
                <w:tab w:pos="467" w:val="left" w:leader="none"/>
                <w:tab w:pos="468" w:val="left" w:leader="none"/>
              </w:tabs>
              <w:spacing w:line="242" w:lineRule="auto" w:before="105" w:after="0"/>
              <w:ind w:left="467" w:right="397" w:hanging="360"/>
              <w:jc w:val="left"/>
              <w:rPr>
                <w:sz w:val="24"/>
              </w:rPr>
            </w:pPr>
            <w:r>
              <w:rPr>
                <w:sz w:val="24"/>
              </w:rPr>
              <w:t>that marriage</w:t>
            </w:r>
            <w:r>
              <w:rPr>
                <w:position w:val="8"/>
                <w:sz w:val="16"/>
              </w:rPr>
              <w:t>13 </w:t>
            </w:r>
            <w:r>
              <w:rPr>
                <w:sz w:val="24"/>
              </w:rPr>
              <w:t>represents a formal and legally recognised commitment of two people to each other which is intended to be lifelong.</w:t>
            </w:r>
          </w:p>
          <w:p>
            <w:pPr>
              <w:pStyle w:val="TableParagraph"/>
              <w:numPr>
                <w:ilvl w:val="0"/>
                <w:numId w:val="17"/>
              </w:numPr>
              <w:tabs>
                <w:tab w:pos="467" w:val="left" w:leader="none"/>
                <w:tab w:pos="468" w:val="left" w:leader="none"/>
              </w:tabs>
              <w:spacing w:line="242" w:lineRule="auto" w:before="106" w:after="0"/>
              <w:ind w:left="467" w:right="275" w:hanging="360"/>
              <w:jc w:val="left"/>
              <w:rPr>
                <w:sz w:val="24"/>
              </w:rPr>
            </w:pPr>
            <w:r>
              <w:rPr>
                <w:sz w:val="24"/>
              </w:rPr>
              <w:t>how to recognise if family relationships are making them feel unhappy or unsafe, and how to seek help or advice from others if needed.</w:t>
            </w:r>
          </w:p>
        </w:tc>
      </w:tr>
      <w:tr>
        <w:trPr>
          <w:trHeight w:val="5371" w:hRule="atLeast"/>
        </w:trPr>
        <w:tc>
          <w:tcPr>
            <w:tcW w:w="1843" w:type="dxa"/>
          </w:tcPr>
          <w:p>
            <w:pPr>
              <w:pStyle w:val="TableParagraph"/>
              <w:spacing w:line="288" w:lineRule="auto"/>
              <w:ind w:left="107" w:right="412"/>
              <w:rPr>
                <w:b/>
                <w:sz w:val="24"/>
              </w:rPr>
            </w:pPr>
            <w:r>
              <w:rPr>
                <w:b/>
                <w:sz w:val="24"/>
              </w:rPr>
              <w:t>Caring friendships</w:t>
            </w:r>
          </w:p>
        </w:tc>
        <w:tc>
          <w:tcPr>
            <w:tcW w:w="7655" w:type="dxa"/>
          </w:tcPr>
          <w:p>
            <w:pPr>
              <w:pStyle w:val="TableParagraph"/>
              <w:spacing w:line="275" w:lineRule="exact"/>
              <w:ind w:left="107"/>
              <w:rPr>
                <w:sz w:val="24"/>
              </w:rPr>
            </w:pPr>
            <w:r>
              <w:rPr>
                <w:sz w:val="24"/>
              </w:rPr>
              <w:t>Pupils should know</w:t>
            </w:r>
          </w:p>
          <w:p>
            <w:pPr>
              <w:pStyle w:val="TableParagraph"/>
              <w:spacing w:before="4"/>
              <w:ind w:left="0"/>
              <w:rPr>
                <w:b/>
                <w:sz w:val="24"/>
              </w:rPr>
            </w:pPr>
          </w:p>
          <w:p>
            <w:pPr>
              <w:pStyle w:val="TableParagraph"/>
              <w:numPr>
                <w:ilvl w:val="0"/>
                <w:numId w:val="18"/>
              </w:numPr>
              <w:tabs>
                <w:tab w:pos="467" w:val="left" w:leader="none"/>
                <w:tab w:pos="468" w:val="left" w:leader="none"/>
              </w:tabs>
              <w:spacing w:line="240" w:lineRule="auto" w:before="0" w:after="0"/>
              <w:ind w:left="467" w:right="117" w:hanging="360"/>
              <w:jc w:val="left"/>
              <w:rPr>
                <w:sz w:val="24"/>
              </w:rPr>
            </w:pPr>
            <w:r>
              <w:rPr>
                <w:sz w:val="24"/>
              </w:rPr>
              <w:t>how important friendships are in making us feel happy and secure, and how people choose and make</w:t>
            </w:r>
            <w:r>
              <w:rPr>
                <w:spacing w:val="-3"/>
                <w:sz w:val="24"/>
              </w:rPr>
              <w:t> </w:t>
            </w:r>
            <w:r>
              <w:rPr>
                <w:sz w:val="24"/>
              </w:rPr>
              <w:t>friends.</w:t>
            </w:r>
          </w:p>
          <w:p>
            <w:pPr>
              <w:pStyle w:val="TableParagraph"/>
              <w:numPr>
                <w:ilvl w:val="0"/>
                <w:numId w:val="18"/>
              </w:numPr>
              <w:tabs>
                <w:tab w:pos="467" w:val="left" w:leader="none"/>
                <w:tab w:pos="468" w:val="left" w:leader="none"/>
              </w:tabs>
              <w:spacing w:line="242" w:lineRule="auto" w:before="109" w:after="0"/>
              <w:ind w:left="468" w:right="240" w:hanging="360"/>
              <w:jc w:val="left"/>
              <w:rPr>
                <w:sz w:val="24"/>
              </w:rPr>
            </w:pPr>
            <w:r>
              <w:rPr>
                <w:sz w:val="24"/>
              </w:rPr>
              <w:t>the characteristics of friendships, including mutual respect, truthfulness, trustworthiness, loyalty, kindness, generosity, trust, sharing interests and experiences and support with problems</w:t>
            </w:r>
            <w:r>
              <w:rPr>
                <w:spacing w:val="-33"/>
                <w:sz w:val="24"/>
              </w:rPr>
              <w:t> </w:t>
            </w:r>
            <w:r>
              <w:rPr>
                <w:sz w:val="24"/>
              </w:rPr>
              <w:t>and difficulties.</w:t>
            </w:r>
          </w:p>
          <w:p>
            <w:pPr>
              <w:pStyle w:val="TableParagraph"/>
              <w:numPr>
                <w:ilvl w:val="0"/>
                <w:numId w:val="18"/>
              </w:numPr>
              <w:tabs>
                <w:tab w:pos="467" w:val="left" w:leader="none"/>
                <w:tab w:pos="468" w:val="left" w:leader="none"/>
              </w:tabs>
              <w:spacing w:line="240" w:lineRule="auto" w:before="108" w:after="0"/>
              <w:ind w:left="468" w:right="839" w:hanging="360"/>
              <w:jc w:val="left"/>
              <w:rPr>
                <w:sz w:val="24"/>
              </w:rPr>
            </w:pPr>
            <w:r>
              <w:rPr>
                <w:sz w:val="24"/>
              </w:rPr>
              <w:t>that healthy friendships are positive and welcoming</w:t>
            </w:r>
            <w:r>
              <w:rPr>
                <w:spacing w:val="-29"/>
                <w:sz w:val="24"/>
              </w:rPr>
              <w:t> </w:t>
            </w:r>
            <w:r>
              <w:rPr>
                <w:sz w:val="24"/>
              </w:rPr>
              <w:t>towards others, and do not make others feel lonely or</w:t>
            </w:r>
            <w:r>
              <w:rPr>
                <w:spacing w:val="-13"/>
                <w:sz w:val="24"/>
              </w:rPr>
              <w:t> </w:t>
            </w:r>
            <w:r>
              <w:rPr>
                <w:sz w:val="24"/>
              </w:rPr>
              <w:t>excluded.</w:t>
            </w:r>
          </w:p>
          <w:p>
            <w:pPr>
              <w:pStyle w:val="TableParagraph"/>
              <w:numPr>
                <w:ilvl w:val="0"/>
                <w:numId w:val="18"/>
              </w:numPr>
              <w:tabs>
                <w:tab w:pos="467" w:val="left" w:leader="none"/>
                <w:tab w:pos="468" w:val="left" w:leader="none"/>
              </w:tabs>
              <w:spacing w:line="242" w:lineRule="auto" w:before="109" w:after="0"/>
              <w:ind w:left="467" w:right="235" w:hanging="360"/>
              <w:jc w:val="left"/>
              <w:rPr>
                <w:sz w:val="24"/>
              </w:rPr>
            </w:pPr>
            <w:r>
              <w:rPr>
                <w:sz w:val="24"/>
              </w:rPr>
              <w:t>that most friendships have ups and downs, and that these can often be worked through so that the friendship is repaired or even strengthened, and that resorting to violence is never</w:t>
            </w:r>
            <w:r>
              <w:rPr>
                <w:spacing w:val="-9"/>
                <w:sz w:val="24"/>
              </w:rPr>
              <w:t> </w:t>
            </w:r>
            <w:r>
              <w:rPr>
                <w:sz w:val="24"/>
              </w:rPr>
              <w:t>right.</w:t>
            </w:r>
          </w:p>
          <w:p>
            <w:pPr>
              <w:pStyle w:val="TableParagraph"/>
              <w:numPr>
                <w:ilvl w:val="0"/>
                <w:numId w:val="18"/>
              </w:numPr>
              <w:tabs>
                <w:tab w:pos="467" w:val="left" w:leader="none"/>
                <w:tab w:pos="468" w:val="left" w:leader="none"/>
              </w:tabs>
              <w:spacing w:line="242" w:lineRule="auto" w:before="106" w:after="0"/>
              <w:ind w:left="467" w:right="238" w:hanging="360"/>
              <w:jc w:val="left"/>
              <w:rPr>
                <w:sz w:val="24"/>
              </w:rPr>
            </w:pPr>
            <w:r>
              <w:rPr>
                <w:sz w:val="24"/>
              </w:rPr>
              <w:t>how to recognise who to trust and who not to trust, how to judge when a friendship is making them feel unhappy or uncomfortable, managing conflict, how to manage these situations and how to seek help or advice from others, if</w:t>
            </w:r>
            <w:r>
              <w:rPr>
                <w:spacing w:val="-4"/>
                <w:sz w:val="24"/>
              </w:rPr>
              <w:t> </w:t>
            </w:r>
            <w:r>
              <w:rPr>
                <w:sz w:val="24"/>
              </w:rPr>
              <w:t>needed.</w:t>
            </w:r>
          </w:p>
        </w:tc>
      </w:tr>
      <w:tr>
        <w:trPr>
          <w:trHeight w:val="4480" w:hRule="atLeast"/>
        </w:trPr>
        <w:tc>
          <w:tcPr>
            <w:tcW w:w="1843" w:type="dxa"/>
          </w:tcPr>
          <w:p>
            <w:pPr>
              <w:pStyle w:val="TableParagraph"/>
              <w:spacing w:line="288" w:lineRule="auto"/>
              <w:ind w:left="107" w:right="212"/>
              <w:rPr>
                <w:b/>
                <w:sz w:val="24"/>
              </w:rPr>
            </w:pPr>
            <w:r>
              <w:rPr>
                <w:b/>
                <w:sz w:val="24"/>
              </w:rPr>
              <w:t>Respectful relationships</w:t>
            </w:r>
          </w:p>
        </w:tc>
        <w:tc>
          <w:tcPr>
            <w:tcW w:w="7655" w:type="dxa"/>
          </w:tcPr>
          <w:p>
            <w:pPr>
              <w:pStyle w:val="TableParagraph"/>
              <w:spacing w:line="275" w:lineRule="exact"/>
              <w:ind w:left="107"/>
              <w:rPr>
                <w:sz w:val="24"/>
              </w:rPr>
            </w:pPr>
            <w:r>
              <w:rPr>
                <w:sz w:val="24"/>
              </w:rPr>
              <w:t>Pupils should know</w:t>
            </w:r>
          </w:p>
          <w:p>
            <w:pPr>
              <w:pStyle w:val="TableParagraph"/>
              <w:numPr>
                <w:ilvl w:val="0"/>
                <w:numId w:val="19"/>
              </w:numPr>
              <w:tabs>
                <w:tab w:pos="467" w:val="left" w:leader="none"/>
                <w:tab w:pos="468" w:val="left" w:leader="none"/>
              </w:tabs>
              <w:spacing w:line="242" w:lineRule="auto" w:before="227" w:after="0"/>
              <w:ind w:left="467" w:right="531" w:hanging="360"/>
              <w:jc w:val="left"/>
              <w:rPr>
                <w:sz w:val="24"/>
              </w:rPr>
            </w:pPr>
            <w:r>
              <w:rPr>
                <w:sz w:val="24"/>
              </w:rPr>
              <w:t>the importance of respecting others, even when they are very different from them (for example, physically, in character, personality or backgrounds), or make different choices or have different preferences or beliefs.</w:t>
            </w:r>
          </w:p>
          <w:p>
            <w:pPr>
              <w:pStyle w:val="TableParagraph"/>
              <w:numPr>
                <w:ilvl w:val="0"/>
                <w:numId w:val="19"/>
              </w:numPr>
              <w:tabs>
                <w:tab w:pos="467" w:val="left" w:leader="none"/>
                <w:tab w:pos="468" w:val="left" w:leader="none"/>
              </w:tabs>
              <w:spacing w:line="240" w:lineRule="auto" w:before="108" w:after="0"/>
              <w:ind w:left="467" w:right="584" w:hanging="360"/>
              <w:jc w:val="left"/>
              <w:rPr>
                <w:sz w:val="24"/>
              </w:rPr>
            </w:pPr>
            <w:r>
              <w:rPr>
                <w:sz w:val="24"/>
              </w:rPr>
              <w:t>practical steps they can take in a range of different contexts to improve or support respectful</w:t>
            </w:r>
            <w:r>
              <w:rPr>
                <w:spacing w:val="-3"/>
                <w:sz w:val="24"/>
              </w:rPr>
              <w:t> </w:t>
            </w:r>
            <w:r>
              <w:rPr>
                <w:sz w:val="24"/>
              </w:rPr>
              <w:t>relationships.</w:t>
            </w:r>
          </w:p>
          <w:p>
            <w:pPr>
              <w:pStyle w:val="TableParagraph"/>
              <w:numPr>
                <w:ilvl w:val="0"/>
                <w:numId w:val="19"/>
              </w:numPr>
              <w:tabs>
                <w:tab w:pos="467" w:val="left" w:leader="none"/>
                <w:tab w:pos="468" w:val="left" w:leader="none"/>
              </w:tabs>
              <w:spacing w:line="240" w:lineRule="auto" w:before="109" w:after="0"/>
              <w:ind w:left="468" w:right="0" w:hanging="361"/>
              <w:jc w:val="left"/>
              <w:rPr>
                <w:sz w:val="24"/>
              </w:rPr>
            </w:pPr>
            <w:r>
              <w:rPr>
                <w:sz w:val="24"/>
              </w:rPr>
              <w:t>the conventions of courtesy and</w:t>
            </w:r>
            <w:r>
              <w:rPr>
                <w:spacing w:val="-3"/>
                <w:sz w:val="24"/>
              </w:rPr>
              <w:t> </w:t>
            </w:r>
            <w:r>
              <w:rPr>
                <w:sz w:val="24"/>
              </w:rPr>
              <w:t>manners.</w:t>
            </w:r>
          </w:p>
          <w:p>
            <w:pPr>
              <w:pStyle w:val="TableParagraph"/>
              <w:numPr>
                <w:ilvl w:val="0"/>
                <w:numId w:val="19"/>
              </w:numPr>
              <w:tabs>
                <w:tab w:pos="467" w:val="left" w:leader="none"/>
                <w:tab w:pos="468" w:val="left" w:leader="none"/>
              </w:tabs>
              <w:spacing w:line="240" w:lineRule="auto" w:before="107" w:after="0"/>
              <w:ind w:left="467" w:right="746" w:hanging="360"/>
              <w:jc w:val="left"/>
              <w:rPr>
                <w:sz w:val="24"/>
              </w:rPr>
            </w:pPr>
            <w:r>
              <w:rPr>
                <w:sz w:val="24"/>
              </w:rPr>
              <w:t>the importance of self-respect and how this links to their</w:t>
            </w:r>
            <w:r>
              <w:rPr>
                <w:spacing w:val="-25"/>
                <w:sz w:val="24"/>
              </w:rPr>
              <w:t> </w:t>
            </w:r>
            <w:r>
              <w:rPr>
                <w:sz w:val="24"/>
              </w:rPr>
              <w:t>own happiness.</w:t>
            </w:r>
          </w:p>
          <w:p>
            <w:pPr>
              <w:pStyle w:val="TableParagraph"/>
              <w:numPr>
                <w:ilvl w:val="0"/>
                <w:numId w:val="19"/>
              </w:numPr>
              <w:tabs>
                <w:tab w:pos="467" w:val="left" w:leader="none"/>
                <w:tab w:pos="468" w:val="left" w:leader="none"/>
              </w:tabs>
              <w:spacing w:line="242" w:lineRule="auto" w:before="109" w:after="0"/>
              <w:ind w:left="467" w:right="422" w:hanging="360"/>
              <w:jc w:val="left"/>
              <w:rPr>
                <w:sz w:val="24"/>
              </w:rPr>
            </w:pPr>
            <w:r>
              <w:rPr>
                <w:sz w:val="24"/>
              </w:rPr>
              <w:t>that in school and in wider society they can expect to be treated with respect by others, and that in turn they should show due respect to others, including those in positions of</w:t>
            </w:r>
            <w:r>
              <w:rPr>
                <w:spacing w:val="-11"/>
                <w:sz w:val="24"/>
              </w:rPr>
              <w:t> </w:t>
            </w:r>
            <w:r>
              <w:rPr>
                <w:sz w:val="24"/>
              </w:rPr>
              <w:t>authority.</w:t>
            </w:r>
          </w:p>
        </w:tc>
      </w:tr>
    </w:tbl>
    <w:p>
      <w:pPr>
        <w:pStyle w:val="BodyText"/>
        <w:rPr>
          <w:b/>
          <w:sz w:val="20"/>
        </w:rPr>
      </w:pPr>
    </w:p>
    <w:p>
      <w:pPr>
        <w:pStyle w:val="BodyText"/>
        <w:rPr>
          <w:b/>
          <w:sz w:val="20"/>
        </w:rPr>
      </w:pPr>
    </w:p>
    <w:p>
      <w:pPr>
        <w:pStyle w:val="BodyText"/>
        <w:spacing w:before="9"/>
        <w:rPr>
          <w:b/>
          <w:sz w:val="21"/>
        </w:rPr>
      </w:pPr>
      <w:r>
        <w:rPr/>
        <w:pict>
          <v:shape style="position:absolute;margin-left:56.700001pt;margin-top:14.801953pt;width:144pt;height:.1pt;mso-position-horizontal-relative:page;mso-position-vertical-relative:paragraph;z-index:-251644928;mso-wrap-distance-left:0;mso-wrap-distance-right:0" coordorigin="1134,296" coordsize="2880,0" path="m1134,296l4014,296e" filled="false" stroked="true" strokeweight=".6pt" strokecolor="#000000">
            <v:path arrowok="t"/>
            <v:stroke dashstyle="solid"/>
            <w10:wrap type="topAndBottom"/>
          </v:shape>
        </w:pict>
      </w:r>
    </w:p>
    <w:p>
      <w:pPr>
        <w:pStyle w:val="BodyText"/>
        <w:spacing w:before="7"/>
        <w:rPr>
          <w:b/>
          <w:sz w:val="16"/>
        </w:rPr>
      </w:pPr>
    </w:p>
    <w:p>
      <w:pPr>
        <w:spacing w:before="98"/>
        <w:ind w:left="113" w:right="687" w:firstLine="0"/>
        <w:jc w:val="left"/>
        <w:rPr>
          <w:sz w:val="18"/>
        </w:rPr>
      </w:pPr>
      <w:r>
        <w:rPr>
          <w:position w:val="6"/>
          <w:sz w:val="12"/>
        </w:rPr>
        <w:t>13 </w:t>
      </w:r>
      <w:r>
        <w:rPr>
          <w:sz w:val="18"/>
        </w:rPr>
        <w:t>Marriage in England and Wales is available to both opposite sex and same sex couples. The Marriage (Same Sex Couples) Act 2013 extended marriage to same sex couples in England and Wales. The ceremony through which a couple get married may be civil or religious.</w:t>
      </w:r>
    </w:p>
    <w:p>
      <w:pPr>
        <w:spacing w:after="0"/>
        <w:jc w:val="left"/>
        <w:rPr>
          <w:sz w:val="18"/>
        </w:rPr>
        <w:sectPr>
          <w:pgSz w:w="11910" w:h="16840"/>
          <w:pgMar w:header="708" w:footer="783" w:top="980" w:bottom="980" w:left="1020" w:right="760"/>
        </w:sectPr>
      </w:pPr>
    </w:p>
    <w:p>
      <w:pPr>
        <w:pStyle w:val="BodyText"/>
        <w:spacing w:before="2"/>
        <w:rPr>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7655"/>
      </w:tblGrid>
      <w:tr>
        <w:trPr>
          <w:trHeight w:val="2320" w:hRule="atLeast"/>
        </w:trPr>
        <w:tc>
          <w:tcPr>
            <w:tcW w:w="1843" w:type="dxa"/>
          </w:tcPr>
          <w:p>
            <w:pPr>
              <w:pStyle w:val="TableParagraph"/>
              <w:ind w:left="0"/>
              <w:rPr>
                <w:rFonts w:ascii="Times New Roman"/>
                <w:sz w:val="24"/>
              </w:rPr>
            </w:pPr>
          </w:p>
        </w:tc>
        <w:tc>
          <w:tcPr>
            <w:tcW w:w="7655" w:type="dxa"/>
          </w:tcPr>
          <w:p>
            <w:pPr>
              <w:pStyle w:val="TableParagraph"/>
              <w:numPr>
                <w:ilvl w:val="0"/>
                <w:numId w:val="20"/>
              </w:numPr>
              <w:tabs>
                <w:tab w:pos="467" w:val="left" w:leader="none"/>
                <w:tab w:pos="468" w:val="left" w:leader="none"/>
              </w:tabs>
              <w:spacing w:line="277" w:lineRule="exact" w:before="0" w:after="0"/>
              <w:ind w:left="468" w:right="0" w:hanging="361"/>
              <w:jc w:val="left"/>
              <w:rPr>
                <w:sz w:val="24"/>
              </w:rPr>
            </w:pPr>
            <w:r>
              <w:rPr>
                <w:sz w:val="24"/>
              </w:rPr>
              <w:t>about different types of bullying (including cyberbullying),</w:t>
            </w:r>
            <w:r>
              <w:rPr>
                <w:spacing w:val="-11"/>
                <w:sz w:val="24"/>
              </w:rPr>
              <w:t> </w:t>
            </w:r>
            <w:r>
              <w:rPr>
                <w:sz w:val="24"/>
              </w:rPr>
              <w:t>the</w:t>
            </w:r>
          </w:p>
          <w:p>
            <w:pPr>
              <w:pStyle w:val="TableParagraph"/>
              <w:spacing w:line="242" w:lineRule="auto" w:before="3"/>
              <w:ind w:right="1035"/>
              <w:rPr>
                <w:sz w:val="24"/>
              </w:rPr>
            </w:pPr>
            <w:r>
              <w:rPr>
                <w:sz w:val="24"/>
              </w:rPr>
              <w:t>impact of bullying, responsibilities of bystanders (primarily reporting bullying to an adult) and how to get help.</w:t>
            </w:r>
          </w:p>
          <w:p>
            <w:pPr>
              <w:pStyle w:val="TableParagraph"/>
              <w:numPr>
                <w:ilvl w:val="0"/>
                <w:numId w:val="20"/>
              </w:numPr>
              <w:tabs>
                <w:tab w:pos="467" w:val="left" w:leader="none"/>
                <w:tab w:pos="468" w:val="left" w:leader="none"/>
              </w:tabs>
              <w:spacing w:line="242" w:lineRule="auto" w:before="105" w:after="0"/>
              <w:ind w:left="467" w:right="196" w:hanging="360"/>
              <w:jc w:val="left"/>
              <w:rPr>
                <w:sz w:val="24"/>
              </w:rPr>
            </w:pPr>
            <w:r>
              <w:rPr>
                <w:sz w:val="24"/>
              </w:rPr>
              <w:t>what a stereotype is, and how stereotypes can be unfair, negative or destructive.</w:t>
            </w:r>
          </w:p>
          <w:p>
            <w:pPr>
              <w:pStyle w:val="TableParagraph"/>
              <w:numPr>
                <w:ilvl w:val="0"/>
                <w:numId w:val="20"/>
              </w:numPr>
              <w:tabs>
                <w:tab w:pos="467" w:val="left" w:leader="none"/>
                <w:tab w:pos="468" w:val="left" w:leader="none"/>
              </w:tabs>
              <w:spacing w:line="240" w:lineRule="auto" w:before="105" w:after="0"/>
              <w:ind w:left="468" w:right="359" w:hanging="360"/>
              <w:jc w:val="left"/>
              <w:rPr>
                <w:sz w:val="24"/>
              </w:rPr>
            </w:pPr>
            <w:r>
              <w:rPr>
                <w:sz w:val="24"/>
              </w:rPr>
              <w:t>the importance of permission-seeking and giving in</w:t>
            </w:r>
            <w:r>
              <w:rPr>
                <w:spacing w:val="-30"/>
                <w:sz w:val="24"/>
              </w:rPr>
              <w:t> </w:t>
            </w:r>
            <w:r>
              <w:rPr>
                <w:sz w:val="24"/>
              </w:rPr>
              <w:t>relationships with friends, peers and</w:t>
            </w:r>
            <w:r>
              <w:rPr>
                <w:spacing w:val="-1"/>
                <w:sz w:val="24"/>
              </w:rPr>
              <w:t> </w:t>
            </w:r>
            <w:r>
              <w:rPr>
                <w:sz w:val="24"/>
              </w:rPr>
              <w:t>adults.</w:t>
            </w:r>
          </w:p>
        </w:tc>
      </w:tr>
      <w:tr>
        <w:trPr>
          <w:trHeight w:val="4199" w:hRule="atLeast"/>
        </w:trPr>
        <w:tc>
          <w:tcPr>
            <w:tcW w:w="1843" w:type="dxa"/>
          </w:tcPr>
          <w:p>
            <w:pPr>
              <w:pStyle w:val="TableParagraph"/>
              <w:spacing w:line="288" w:lineRule="auto"/>
              <w:ind w:left="107" w:right="212"/>
              <w:rPr>
                <w:b/>
                <w:sz w:val="24"/>
              </w:rPr>
            </w:pPr>
            <w:r>
              <w:rPr>
                <w:b/>
                <w:sz w:val="24"/>
              </w:rPr>
              <w:t>Online relationships</w:t>
            </w:r>
          </w:p>
        </w:tc>
        <w:tc>
          <w:tcPr>
            <w:tcW w:w="7655" w:type="dxa"/>
          </w:tcPr>
          <w:p>
            <w:pPr>
              <w:pStyle w:val="TableParagraph"/>
              <w:spacing w:line="275" w:lineRule="exact"/>
              <w:ind w:left="107"/>
              <w:rPr>
                <w:sz w:val="24"/>
              </w:rPr>
            </w:pPr>
            <w:r>
              <w:rPr>
                <w:sz w:val="24"/>
              </w:rPr>
              <w:t>Pupils should know</w:t>
            </w:r>
          </w:p>
          <w:p>
            <w:pPr>
              <w:pStyle w:val="TableParagraph"/>
              <w:numPr>
                <w:ilvl w:val="0"/>
                <w:numId w:val="21"/>
              </w:numPr>
              <w:tabs>
                <w:tab w:pos="467" w:val="left" w:leader="none"/>
                <w:tab w:pos="468" w:val="left" w:leader="none"/>
              </w:tabs>
              <w:spacing w:line="242" w:lineRule="auto" w:before="227" w:after="0"/>
              <w:ind w:left="467" w:right="691" w:hanging="360"/>
              <w:jc w:val="left"/>
              <w:rPr>
                <w:sz w:val="24"/>
              </w:rPr>
            </w:pPr>
            <w:r>
              <w:rPr>
                <w:sz w:val="24"/>
              </w:rPr>
              <w:t>that people sometimes behave differently online, including by pretending to be someone they are</w:t>
            </w:r>
            <w:r>
              <w:rPr>
                <w:spacing w:val="-2"/>
                <w:sz w:val="24"/>
              </w:rPr>
              <w:t> </w:t>
            </w:r>
            <w:r>
              <w:rPr>
                <w:sz w:val="24"/>
              </w:rPr>
              <w:t>not.</w:t>
            </w:r>
          </w:p>
          <w:p>
            <w:pPr>
              <w:pStyle w:val="TableParagraph"/>
              <w:numPr>
                <w:ilvl w:val="0"/>
                <w:numId w:val="21"/>
              </w:numPr>
              <w:tabs>
                <w:tab w:pos="467" w:val="left" w:leader="none"/>
                <w:tab w:pos="468" w:val="left" w:leader="none"/>
              </w:tabs>
              <w:spacing w:line="242" w:lineRule="auto" w:before="105" w:after="0"/>
              <w:ind w:left="468" w:right="143" w:hanging="360"/>
              <w:jc w:val="left"/>
              <w:rPr>
                <w:sz w:val="24"/>
              </w:rPr>
            </w:pPr>
            <w:r>
              <w:rPr>
                <w:sz w:val="24"/>
              </w:rPr>
              <w:t>that the same principles apply to online relationships as to face-to- face relationships, including the importance of respect for others online including when we are</w:t>
            </w:r>
            <w:r>
              <w:rPr>
                <w:spacing w:val="-3"/>
                <w:sz w:val="24"/>
              </w:rPr>
              <w:t> </w:t>
            </w:r>
            <w:r>
              <w:rPr>
                <w:sz w:val="24"/>
              </w:rPr>
              <w:t>anonymous.</w:t>
            </w:r>
          </w:p>
          <w:p>
            <w:pPr>
              <w:pStyle w:val="TableParagraph"/>
              <w:numPr>
                <w:ilvl w:val="0"/>
                <w:numId w:val="21"/>
              </w:numPr>
              <w:tabs>
                <w:tab w:pos="467" w:val="left" w:leader="none"/>
                <w:tab w:pos="468" w:val="left" w:leader="none"/>
              </w:tabs>
              <w:spacing w:line="240" w:lineRule="auto" w:before="105" w:after="0"/>
              <w:ind w:left="468" w:right="278" w:hanging="360"/>
              <w:jc w:val="left"/>
              <w:rPr>
                <w:sz w:val="24"/>
              </w:rPr>
            </w:pPr>
            <w:r>
              <w:rPr>
                <w:sz w:val="24"/>
              </w:rPr>
              <w:t>the rules and principles for keeping safe online, how to</w:t>
            </w:r>
            <w:r>
              <w:rPr>
                <w:spacing w:val="-29"/>
                <w:sz w:val="24"/>
              </w:rPr>
              <w:t> </w:t>
            </w:r>
            <w:r>
              <w:rPr>
                <w:sz w:val="24"/>
              </w:rPr>
              <w:t>recognise risks, harmful content and contact, and how to report</w:t>
            </w:r>
            <w:r>
              <w:rPr>
                <w:spacing w:val="-14"/>
                <w:sz w:val="24"/>
              </w:rPr>
              <w:t> </w:t>
            </w:r>
            <w:r>
              <w:rPr>
                <w:sz w:val="24"/>
              </w:rPr>
              <w:t>them.</w:t>
            </w:r>
          </w:p>
          <w:p>
            <w:pPr>
              <w:pStyle w:val="TableParagraph"/>
              <w:numPr>
                <w:ilvl w:val="0"/>
                <w:numId w:val="21"/>
              </w:numPr>
              <w:tabs>
                <w:tab w:pos="467" w:val="left" w:leader="none"/>
                <w:tab w:pos="468" w:val="left" w:leader="none"/>
              </w:tabs>
              <w:spacing w:line="242" w:lineRule="auto" w:before="111" w:after="0"/>
              <w:ind w:left="468" w:right="464" w:hanging="360"/>
              <w:jc w:val="left"/>
              <w:rPr>
                <w:sz w:val="24"/>
              </w:rPr>
            </w:pPr>
            <w:r>
              <w:rPr>
                <w:sz w:val="24"/>
              </w:rPr>
              <w:t>how to critically consider their online friendships and sources of information including awareness of the risks associated with people they have never met.</w:t>
            </w:r>
          </w:p>
          <w:p>
            <w:pPr>
              <w:pStyle w:val="TableParagraph"/>
              <w:numPr>
                <w:ilvl w:val="0"/>
                <w:numId w:val="21"/>
              </w:numPr>
              <w:tabs>
                <w:tab w:pos="467" w:val="left" w:leader="none"/>
                <w:tab w:pos="468" w:val="left" w:leader="none"/>
              </w:tabs>
              <w:spacing w:line="240" w:lineRule="auto" w:before="105" w:after="0"/>
              <w:ind w:left="468" w:right="0" w:hanging="360"/>
              <w:jc w:val="left"/>
              <w:rPr>
                <w:sz w:val="24"/>
              </w:rPr>
            </w:pPr>
            <w:r>
              <w:rPr>
                <w:sz w:val="24"/>
              </w:rPr>
              <w:t>how information and data is shared and used</w:t>
            </w:r>
            <w:r>
              <w:rPr>
                <w:spacing w:val="-7"/>
                <w:sz w:val="24"/>
              </w:rPr>
              <w:t> </w:t>
            </w:r>
            <w:r>
              <w:rPr>
                <w:sz w:val="24"/>
              </w:rPr>
              <w:t>online.</w:t>
            </w:r>
          </w:p>
        </w:tc>
      </w:tr>
      <w:tr>
        <w:trPr>
          <w:trHeight w:val="6571" w:hRule="atLeast"/>
        </w:trPr>
        <w:tc>
          <w:tcPr>
            <w:tcW w:w="1843" w:type="dxa"/>
          </w:tcPr>
          <w:p>
            <w:pPr>
              <w:pStyle w:val="TableParagraph"/>
              <w:spacing w:line="275" w:lineRule="exact"/>
              <w:ind w:left="107"/>
              <w:rPr>
                <w:b/>
                <w:sz w:val="24"/>
              </w:rPr>
            </w:pPr>
            <w:r>
              <w:rPr>
                <w:b/>
                <w:sz w:val="24"/>
              </w:rPr>
              <w:t>Being safe</w:t>
            </w:r>
          </w:p>
        </w:tc>
        <w:tc>
          <w:tcPr>
            <w:tcW w:w="7655" w:type="dxa"/>
          </w:tcPr>
          <w:p>
            <w:pPr>
              <w:pStyle w:val="TableParagraph"/>
              <w:spacing w:line="274" w:lineRule="exact"/>
              <w:ind w:left="107"/>
              <w:rPr>
                <w:sz w:val="24"/>
              </w:rPr>
            </w:pPr>
            <w:r>
              <w:rPr>
                <w:sz w:val="24"/>
              </w:rPr>
              <w:t>Pupils should know</w:t>
            </w:r>
          </w:p>
          <w:p>
            <w:pPr>
              <w:pStyle w:val="TableParagraph"/>
              <w:spacing w:before="4"/>
              <w:ind w:left="0"/>
              <w:rPr>
                <w:sz w:val="24"/>
              </w:rPr>
            </w:pPr>
          </w:p>
          <w:p>
            <w:pPr>
              <w:pStyle w:val="TableParagraph"/>
              <w:numPr>
                <w:ilvl w:val="0"/>
                <w:numId w:val="22"/>
              </w:numPr>
              <w:tabs>
                <w:tab w:pos="468" w:val="left" w:leader="none"/>
              </w:tabs>
              <w:spacing w:line="242" w:lineRule="auto" w:before="0" w:after="0"/>
              <w:ind w:left="467" w:right="224" w:hanging="360"/>
              <w:jc w:val="both"/>
              <w:rPr>
                <w:sz w:val="24"/>
              </w:rPr>
            </w:pPr>
            <w:r>
              <w:rPr>
                <w:sz w:val="24"/>
              </w:rPr>
              <w:t>what sorts of boundaries are appropriate in friendships with peers and others (including in a digital</w:t>
            </w:r>
            <w:r>
              <w:rPr>
                <w:spacing w:val="-3"/>
                <w:sz w:val="24"/>
              </w:rPr>
              <w:t> </w:t>
            </w:r>
            <w:r>
              <w:rPr>
                <w:sz w:val="24"/>
              </w:rPr>
              <w:t>context).</w:t>
            </w:r>
          </w:p>
          <w:p>
            <w:pPr>
              <w:pStyle w:val="TableParagraph"/>
              <w:numPr>
                <w:ilvl w:val="0"/>
                <w:numId w:val="22"/>
              </w:numPr>
              <w:tabs>
                <w:tab w:pos="468" w:val="left" w:leader="none"/>
              </w:tabs>
              <w:spacing w:line="242" w:lineRule="auto" w:before="105" w:after="0"/>
              <w:ind w:left="467" w:right="600" w:hanging="360"/>
              <w:jc w:val="both"/>
              <w:rPr>
                <w:sz w:val="24"/>
              </w:rPr>
            </w:pPr>
            <w:r>
              <w:rPr>
                <w:sz w:val="24"/>
              </w:rPr>
              <w:t>about the concept of privacy and the implications of it for both children and adults; including that it is not always right to</w:t>
            </w:r>
            <w:r>
              <w:rPr>
                <w:spacing w:val="-29"/>
                <w:sz w:val="24"/>
              </w:rPr>
              <w:t> </w:t>
            </w:r>
            <w:r>
              <w:rPr>
                <w:sz w:val="24"/>
              </w:rPr>
              <w:t>keep secrets if they relate to being</w:t>
            </w:r>
            <w:r>
              <w:rPr>
                <w:spacing w:val="-4"/>
                <w:sz w:val="24"/>
              </w:rPr>
              <w:t> </w:t>
            </w:r>
            <w:r>
              <w:rPr>
                <w:sz w:val="24"/>
              </w:rPr>
              <w:t>safe.</w:t>
            </w:r>
          </w:p>
          <w:p>
            <w:pPr>
              <w:pStyle w:val="TableParagraph"/>
              <w:numPr>
                <w:ilvl w:val="0"/>
                <w:numId w:val="22"/>
              </w:numPr>
              <w:tabs>
                <w:tab w:pos="467" w:val="left" w:leader="none"/>
                <w:tab w:pos="468" w:val="left" w:leader="none"/>
              </w:tabs>
              <w:spacing w:line="242" w:lineRule="auto" w:before="105" w:after="0"/>
              <w:ind w:left="467" w:right="517" w:hanging="360"/>
              <w:jc w:val="left"/>
              <w:rPr>
                <w:sz w:val="24"/>
              </w:rPr>
            </w:pPr>
            <w:r>
              <w:rPr>
                <w:sz w:val="24"/>
              </w:rPr>
              <w:t>that each person’s body belongs to them, and the differences between appropriate and inappropriate or unsafe physical, and other, contact.</w:t>
            </w:r>
          </w:p>
          <w:p>
            <w:pPr>
              <w:pStyle w:val="TableParagraph"/>
              <w:numPr>
                <w:ilvl w:val="0"/>
                <w:numId w:val="22"/>
              </w:numPr>
              <w:tabs>
                <w:tab w:pos="467" w:val="left" w:leader="none"/>
                <w:tab w:pos="468" w:val="left" w:leader="none"/>
              </w:tabs>
              <w:spacing w:line="242" w:lineRule="auto" w:before="106" w:after="0"/>
              <w:ind w:left="467" w:right="677" w:hanging="360"/>
              <w:jc w:val="left"/>
              <w:rPr>
                <w:sz w:val="24"/>
              </w:rPr>
            </w:pPr>
            <w:r>
              <w:rPr>
                <w:sz w:val="24"/>
              </w:rPr>
              <w:t>how to respond safely and appropriately to adults they may encounter (in all contexts, including online) whom they do not know.</w:t>
            </w:r>
          </w:p>
          <w:p>
            <w:pPr>
              <w:pStyle w:val="TableParagraph"/>
              <w:numPr>
                <w:ilvl w:val="0"/>
                <w:numId w:val="22"/>
              </w:numPr>
              <w:tabs>
                <w:tab w:pos="467" w:val="left" w:leader="none"/>
                <w:tab w:pos="468" w:val="left" w:leader="none"/>
              </w:tabs>
              <w:spacing w:line="240" w:lineRule="auto" w:before="105" w:after="0"/>
              <w:ind w:left="467" w:right="544" w:hanging="360"/>
              <w:jc w:val="left"/>
              <w:rPr>
                <w:sz w:val="24"/>
              </w:rPr>
            </w:pPr>
            <w:r>
              <w:rPr>
                <w:sz w:val="24"/>
              </w:rPr>
              <w:t>how to recognise and report feelings of being unsafe or</w:t>
            </w:r>
            <w:r>
              <w:rPr>
                <w:spacing w:val="-30"/>
                <w:sz w:val="24"/>
              </w:rPr>
              <w:t> </w:t>
            </w:r>
            <w:r>
              <w:rPr>
                <w:sz w:val="24"/>
              </w:rPr>
              <w:t>feeling bad about any adult.</w:t>
            </w:r>
          </w:p>
          <w:p>
            <w:pPr>
              <w:pStyle w:val="TableParagraph"/>
              <w:numPr>
                <w:ilvl w:val="0"/>
                <w:numId w:val="22"/>
              </w:numPr>
              <w:tabs>
                <w:tab w:pos="467" w:val="left" w:leader="none"/>
                <w:tab w:pos="468" w:val="left" w:leader="none"/>
              </w:tabs>
              <w:spacing w:line="240" w:lineRule="auto" w:before="111" w:after="0"/>
              <w:ind w:left="468" w:right="676" w:hanging="360"/>
              <w:jc w:val="left"/>
              <w:rPr>
                <w:sz w:val="24"/>
              </w:rPr>
            </w:pPr>
            <w:r>
              <w:rPr>
                <w:sz w:val="24"/>
              </w:rPr>
              <w:t>how to ask for advice or help for themselves or others, and to keep trying until they are</w:t>
            </w:r>
            <w:r>
              <w:rPr>
                <w:spacing w:val="-2"/>
                <w:sz w:val="24"/>
              </w:rPr>
              <w:t> </w:t>
            </w:r>
            <w:r>
              <w:rPr>
                <w:sz w:val="24"/>
              </w:rPr>
              <w:t>heard,</w:t>
            </w:r>
          </w:p>
          <w:p>
            <w:pPr>
              <w:pStyle w:val="TableParagraph"/>
              <w:numPr>
                <w:ilvl w:val="0"/>
                <w:numId w:val="22"/>
              </w:numPr>
              <w:tabs>
                <w:tab w:pos="467" w:val="left" w:leader="none"/>
                <w:tab w:pos="468" w:val="left" w:leader="none"/>
              </w:tabs>
              <w:spacing w:line="242" w:lineRule="auto" w:before="109" w:after="0"/>
              <w:ind w:left="468" w:right="1105" w:hanging="360"/>
              <w:jc w:val="left"/>
              <w:rPr>
                <w:sz w:val="24"/>
              </w:rPr>
            </w:pPr>
            <w:r>
              <w:rPr>
                <w:sz w:val="24"/>
              </w:rPr>
              <w:t>how to report concerns or abuse, and the vocabulary</w:t>
            </w:r>
            <w:r>
              <w:rPr>
                <w:spacing w:val="-25"/>
                <w:sz w:val="24"/>
              </w:rPr>
              <w:t> </w:t>
            </w:r>
            <w:r>
              <w:rPr>
                <w:sz w:val="24"/>
              </w:rPr>
              <w:t>and confidence needed to do</w:t>
            </w:r>
            <w:r>
              <w:rPr>
                <w:spacing w:val="-1"/>
                <w:sz w:val="24"/>
              </w:rPr>
              <w:t> </w:t>
            </w:r>
            <w:r>
              <w:rPr>
                <w:sz w:val="24"/>
              </w:rPr>
              <w:t>so.</w:t>
            </w:r>
          </w:p>
          <w:p>
            <w:pPr>
              <w:pStyle w:val="TableParagraph"/>
              <w:numPr>
                <w:ilvl w:val="0"/>
                <w:numId w:val="22"/>
              </w:numPr>
              <w:tabs>
                <w:tab w:pos="467" w:val="left" w:leader="none"/>
                <w:tab w:pos="468" w:val="left" w:leader="none"/>
              </w:tabs>
              <w:spacing w:line="240" w:lineRule="auto" w:before="105" w:after="0"/>
              <w:ind w:left="468" w:right="0" w:hanging="360"/>
              <w:jc w:val="left"/>
              <w:rPr>
                <w:sz w:val="24"/>
              </w:rPr>
            </w:pPr>
            <w:r>
              <w:rPr>
                <w:sz w:val="24"/>
              </w:rPr>
              <w:t>where to get advice e.g. family, school and/or other</w:t>
            </w:r>
            <w:r>
              <w:rPr>
                <w:spacing w:val="-8"/>
                <w:sz w:val="24"/>
              </w:rPr>
              <w:t> </w:t>
            </w:r>
            <w:r>
              <w:rPr>
                <w:sz w:val="24"/>
              </w:rPr>
              <w:t>sources.</w:t>
            </w:r>
          </w:p>
        </w:tc>
      </w:tr>
    </w:tbl>
    <w:p>
      <w:pPr>
        <w:spacing w:after="0" w:line="240" w:lineRule="auto"/>
        <w:jc w:val="left"/>
        <w:rPr>
          <w:sz w:val="24"/>
        </w:rPr>
        <w:sectPr>
          <w:pgSz w:w="11910" w:h="16840"/>
          <w:pgMar w:header="708" w:footer="783" w:top="980" w:bottom="980" w:left="1020" w:right="760"/>
        </w:sectPr>
      </w:pPr>
    </w:p>
    <w:p>
      <w:pPr>
        <w:pStyle w:val="Heading2"/>
        <w:spacing w:before="140"/>
      </w:pPr>
      <w:bookmarkStart w:name="Managing difficult questions" w:id="52"/>
      <w:bookmarkEnd w:id="52"/>
      <w:r>
        <w:rPr>
          <w:b w:val="0"/>
        </w:rPr>
      </w:r>
      <w:bookmarkStart w:name="_bookmark29" w:id="53"/>
      <w:bookmarkEnd w:id="53"/>
      <w:r>
        <w:rPr>
          <w:b w:val="0"/>
        </w:rPr>
      </w:r>
      <w:r>
        <w:rPr>
          <w:color w:val="02466C"/>
        </w:rPr>
        <w:t>Managing difficult questions</w:t>
      </w:r>
    </w:p>
    <w:p>
      <w:pPr>
        <w:pStyle w:val="ListParagraph"/>
        <w:numPr>
          <w:ilvl w:val="0"/>
          <w:numId w:val="14"/>
        </w:numPr>
        <w:tabs>
          <w:tab w:pos="833" w:val="left" w:leader="none"/>
          <w:tab w:pos="834" w:val="left" w:leader="none"/>
        </w:tabs>
        <w:spacing w:line="288" w:lineRule="auto" w:before="239" w:after="0"/>
        <w:ind w:left="114" w:right="645" w:firstLine="0"/>
        <w:jc w:val="left"/>
        <w:rPr>
          <w:sz w:val="24"/>
        </w:rPr>
      </w:pPr>
      <w:r>
        <w:rPr>
          <w:sz w:val="24"/>
        </w:rPr>
        <w:t>Primary-age pupils will often ask their teachers or other adults questions pertaining to sex or sexuality which go beyond what is set out for Relationships Education. The school’s policy should cover how the school handles such questions. Given ease of access to the internet, children whose questions go unanswered may turn to inappropriate sources of</w:t>
      </w:r>
      <w:r>
        <w:rPr>
          <w:spacing w:val="-2"/>
          <w:sz w:val="24"/>
        </w:rPr>
        <w:t> </w:t>
      </w:r>
      <w:r>
        <w:rPr>
          <w:sz w:val="24"/>
        </w:rPr>
        <w:t>information.</w:t>
      </w:r>
    </w:p>
    <w:p>
      <w:pPr>
        <w:pStyle w:val="ListParagraph"/>
        <w:numPr>
          <w:ilvl w:val="0"/>
          <w:numId w:val="14"/>
        </w:numPr>
        <w:tabs>
          <w:tab w:pos="833" w:val="left" w:leader="none"/>
          <w:tab w:pos="834" w:val="left" w:leader="none"/>
        </w:tabs>
        <w:spacing w:line="288" w:lineRule="auto" w:before="240" w:after="0"/>
        <w:ind w:left="114" w:right="578" w:firstLine="0"/>
        <w:jc w:val="left"/>
        <w:rPr>
          <w:sz w:val="24"/>
        </w:rPr>
      </w:pPr>
      <w:r>
        <w:rPr>
          <w:sz w:val="24"/>
        </w:rPr>
        <w:t>Meeting these objectives will require a graduated, age-appropriate programme of Relationships Education. Children of the same age may be developmentally at different stages, leading to differing types of questions or behaviours. Teaching methods should take account of these differences (including when they are due to specific special educational needs or disabilities) and the potential for discussion on a one-to-one basis or in small groups. Schools should consider what is appropriate and inappropriate in a whole-class setting, as teachers may require support and training in answering questions that are better not dealt with in front of a whole class.</w:t>
      </w:r>
    </w:p>
    <w:p>
      <w:pPr>
        <w:pStyle w:val="BodyText"/>
        <w:spacing w:before="9"/>
        <w:rPr>
          <w:sz w:val="41"/>
        </w:rPr>
      </w:pPr>
    </w:p>
    <w:p>
      <w:pPr>
        <w:pStyle w:val="Heading2"/>
        <w:spacing w:before="0"/>
      </w:pPr>
      <w:bookmarkStart w:name="Sex Education (Primary)" w:id="54"/>
      <w:bookmarkEnd w:id="54"/>
      <w:r>
        <w:rPr>
          <w:b w:val="0"/>
        </w:rPr>
      </w:r>
      <w:bookmarkStart w:name="_bookmark30" w:id="55"/>
      <w:bookmarkEnd w:id="55"/>
      <w:r>
        <w:rPr>
          <w:b w:val="0"/>
        </w:rPr>
      </w:r>
      <w:r>
        <w:rPr>
          <w:color w:val="02466C"/>
        </w:rPr>
        <w:t>Sex Education (Primary)</w:t>
      </w:r>
    </w:p>
    <w:p>
      <w:pPr>
        <w:pStyle w:val="ListParagraph"/>
        <w:numPr>
          <w:ilvl w:val="0"/>
          <w:numId w:val="14"/>
        </w:numPr>
        <w:tabs>
          <w:tab w:pos="833" w:val="left" w:leader="none"/>
          <w:tab w:pos="834" w:val="left" w:leader="none"/>
        </w:tabs>
        <w:spacing w:line="288" w:lineRule="auto" w:before="239" w:after="0"/>
        <w:ind w:left="113" w:right="738" w:firstLine="0"/>
        <w:jc w:val="left"/>
        <w:rPr>
          <w:sz w:val="24"/>
        </w:rPr>
      </w:pPr>
      <w:r>
        <w:rPr>
          <w:sz w:val="24"/>
        </w:rPr>
        <w:t>The Relationships Education, RSE, and Health Education (England) Regulations 2019 have made Relationships Education compulsory in all primary schools. Sex education is not compulsory in primary schools and the content set out in this guidance therefore focuses on Relationships</w:t>
      </w:r>
      <w:r>
        <w:rPr>
          <w:spacing w:val="-2"/>
          <w:sz w:val="24"/>
        </w:rPr>
        <w:t> </w:t>
      </w:r>
      <w:r>
        <w:rPr>
          <w:sz w:val="24"/>
        </w:rPr>
        <w:t>Education.</w:t>
      </w:r>
    </w:p>
    <w:p>
      <w:pPr>
        <w:pStyle w:val="ListParagraph"/>
        <w:numPr>
          <w:ilvl w:val="0"/>
          <w:numId w:val="14"/>
        </w:numPr>
        <w:tabs>
          <w:tab w:pos="833" w:val="left" w:leader="none"/>
          <w:tab w:pos="834" w:val="left" w:leader="none"/>
        </w:tabs>
        <w:spacing w:line="288" w:lineRule="auto" w:before="240" w:after="0"/>
        <w:ind w:left="113" w:right="567" w:firstLine="0"/>
        <w:jc w:val="left"/>
        <w:rPr>
          <w:sz w:val="24"/>
        </w:rPr>
      </w:pPr>
      <w:r>
        <w:rPr>
          <w:sz w:val="24"/>
        </w:rPr>
        <w:t>The content set out in this guidance covers everything that primary schools should teach about relationships and health, including puberty. The national curriculum for science also includes subject content in related areas, such as the main external body parts, the human body as it grows from birth to old age (including puberty) and reproduction in some plants and animals. It will be for primary schools to determine whether they need to cover any additional content on sex education to meet the needs of their pupils. Many primary schools already choose to teach some aspects of sex education and will continue to do so, although it is not a</w:t>
      </w:r>
      <w:r>
        <w:rPr>
          <w:spacing w:val="-6"/>
          <w:sz w:val="24"/>
        </w:rPr>
        <w:t> </w:t>
      </w:r>
      <w:r>
        <w:rPr>
          <w:sz w:val="24"/>
        </w:rPr>
        <w:t>requirement.</w:t>
      </w:r>
    </w:p>
    <w:p>
      <w:pPr>
        <w:pStyle w:val="ListParagraph"/>
        <w:numPr>
          <w:ilvl w:val="0"/>
          <w:numId w:val="14"/>
        </w:numPr>
        <w:tabs>
          <w:tab w:pos="833" w:val="left" w:leader="none"/>
          <w:tab w:pos="834" w:val="left" w:leader="none"/>
        </w:tabs>
        <w:spacing w:line="288" w:lineRule="auto" w:before="240" w:after="0"/>
        <w:ind w:left="113" w:right="566" w:firstLine="0"/>
        <w:jc w:val="left"/>
        <w:rPr>
          <w:sz w:val="24"/>
        </w:rPr>
      </w:pPr>
      <w:r>
        <w:rPr>
          <w:sz w:val="24"/>
        </w:rPr>
        <w:t>It is important that the transition phase before moving to secondary school supports pupils’ ongoing emotional and physical development effectively. The Department continues to recommend therefore that all primary schools should have a sex education programme tailored to the age and the physical and emotional maturity of the pupils. It should ensure that both boys and girls are prepared for the changes that adolescence brings and – drawing on knowledge of the human life cycle set out in the national curriculum for science - how a baby is conceived and born. As well as consulting parents more generally about the school’s overall policy, primary schools should consult parents before the final year of primary school about the detailed content of what will be taught. This process should include offering parents support in talking to their children about sex education and how to link this with what is being taught in school.</w:t>
      </w:r>
      <w:r>
        <w:rPr>
          <w:spacing w:val="-24"/>
          <w:sz w:val="24"/>
        </w:rPr>
        <w:t> </w:t>
      </w:r>
      <w:r>
        <w:rPr>
          <w:sz w:val="24"/>
        </w:rPr>
        <w:t>Meeting</w:t>
      </w:r>
    </w:p>
    <w:p>
      <w:pPr>
        <w:spacing w:after="0" w:line="288" w:lineRule="auto"/>
        <w:jc w:val="left"/>
        <w:rPr>
          <w:sz w:val="24"/>
        </w:rPr>
        <w:sectPr>
          <w:pgSz w:w="11910" w:h="16840"/>
          <w:pgMar w:header="708" w:footer="783" w:top="980" w:bottom="980" w:left="1020" w:right="760"/>
        </w:sectPr>
      </w:pPr>
    </w:p>
    <w:p>
      <w:pPr>
        <w:pStyle w:val="BodyText"/>
        <w:spacing w:line="288" w:lineRule="auto" w:before="138"/>
        <w:ind w:left="114" w:right="710"/>
      </w:pPr>
      <w:r>
        <w:rPr/>
        <w:t>these objectives will require a graduated, age-appropriate programme of sex education. Teaching needs to take account of the developmental differences of children.</w:t>
      </w:r>
    </w:p>
    <w:p>
      <w:pPr>
        <w:pStyle w:val="ListParagraph"/>
        <w:numPr>
          <w:ilvl w:val="0"/>
          <w:numId w:val="14"/>
        </w:numPr>
        <w:tabs>
          <w:tab w:pos="833" w:val="left" w:leader="none"/>
          <w:tab w:pos="834" w:val="left" w:leader="none"/>
        </w:tabs>
        <w:spacing w:line="288" w:lineRule="auto" w:before="240" w:after="0"/>
        <w:ind w:left="113" w:right="617" w:firstLine="0"/>
        <w:jc w:val="left"/>
        <w:rPr>
          <w:sz w:val="24"/>
        </w:rPr>
      </w:pPr>
      <w:r>
        <w:rPr>
          <w:sz w:val="24"/>
        </w:rPr>
        <w:t>Where a maintained primary school chooses to teach aspects of sex education (which go beyond the national curriculum for science), the school must set this out in their policy and all schools should consult with parents on what is to be covered. Primary schools that choose to teach sex education must allow parents a right to withdraw their children. Unlike sex education in RSE at secondary, in primary schools, head teachers must comply with a parent’s wish to withdraw their child from sex education beyond the national curriculum for science. Schools will want to draw on the good practice for conversations with parents around the right to withdraw as set out in paragraphs 45</w:t>
      </w:r>
      <w:r>
        <w:rPr>
          <w:spacing w:val="-37"/>
          <w:sz w:val="24"/>
        </w:rPr>
        <w:t> </w:t>
      </w:r>
      <w:r>
        <w:rPr>
          <w:sz w:val="24"/>
        </w:rPr>
        <w:t>and</w:t>
      </w:r>
    </w:p>
    <w:p>
      <w:pPr>
        <w:pStyle w:val="BodyText"/>
        <w:spacing w:line="288" w:lineRule="auto"/>
        <w:ind w:left="113" w:right="898"/>
      </w:pPr>
      <w:r>
        <w:rPr/>
        <w:t>46. Schools must also ensure that their teaching and materials are appropriate having regard to the age and religious backgrounds of their pupils. Schools will also want to recognise the significance of other factors, such as any special educational needs or disabilities of their pupils.</w:t>
      </w:r>
    </w:p>
    <w:p>
      <w:pPr>
        <w:spacing w:after="0" w:line="288" w:lineRule="auto"/>
        <w:sectPr>
          <w:pgSz w:w="11910" w:h="16840"/>
          <w:pgMar w:header="708" w:footer="783" w:top="980" w:bottom="980" w:left="1020" w:right="760"/>
        </w:sectPr>
      </w:pPr>
    </w:p>
    <w:p>
      <w:pPr>
        <w:pStyle w:val="Heading1"/>
      </w:pPr>
      <w:bookmarkStart w:name="Relationships and Sex Education (RSE): S" w:id="56"/>
      <w:bookmarkEnd w:id="56"/>
      <w:r>
        <w:rPr>
          <w:b w:val="0"/>
        </w:rPr>
      </w:r>
      <w:bookmarkStart w:name="_bookmark31" w:id="57"/>
      <w:bookmarkEnd w:id="57"/>
      <w:r>
        <w:rPr>
          <w:b w:val="0"/>
        </w:rPr>
      </w:r>
      <w:r>
        <w:rPr>
          <w:color w:val="02466C"/>
        </w:rPr>
        <w:t>Relationships and Sex Education (RSE): Secondary</w:t>
      </w:r>
    </w:p>
    <w:p>
      <w:pPr>
        <w:pStyle w:val="ListParagraph"/>
        <w:numPr>
          <w:ilvl w:val="0"/>
          <w:numId w:val="23"/>
        </w:numPr>
        <w:tabs>
          <w:tab w:pos="833" w:val="left" w:leader="none"/>
          <w:tab w:pos="834" w:val="left" w:leader="none"/>
        </w:tabs>
        <w:spacing w:line="288" w:lineRule="auto" w:before="238" w:after="0"/>
        <w:ind w:left="113" w:right="632" w:firstLine="0"/>
        <w:jc w:val="left"/>
        <w:rPr>
          <w:sz w:val="24"/>
        </w:rPr>
      </w:pPr>
      <w:r>
        <w:rPr>
          <w:sz w:val="24"/>
        </w:rPr>
        <w:t>The aim of RSE is to give young people the information they need to help them develop healthy, nurturing relationships of all kinds, not just intimate relationships. It should enable them to know what a healthy relationship looks like and what makes a good friend, a good colleague and a successful marriage or other type of committed relationship. It should also cover contraception, developing intimate relationships and resisting pressure to have sex (and not applying pressure). It should teach what is acceptable and unacceptable behaviour in relationships. This will help pupils understand the positive effects that good relationships have on their mental wellbeing, identify when relationships are not right and understand how such situations can be</w:t>
      </w:r>
      <w:r>
        <w:rPr>
          <w:spacing w:val="-18"/>
          <w:sz w:val="24"/>
        </w:rPr>
        <w:t> </w:t>
      </w:r>
      <w:r>
        <w:rPr>
          <w:sz w:val="24"/>
        </w:rPr>
        <w:t>managed.</w:t>
      </w:r>
    </w:p>
    <w:p>
      <w:pPr>
        <w:pStyle w:val="ListParagraph"/>
        <w:numPr>
          <w:ilvl w:val="0"/>
          <w:numId w:val="23"/>
        </w:numPr>
        <w:tabs>
          <w:tab w:pos="833" w:val="left" w:leader="none"/>
          <w:tab w:pos="834" w:val="left" w:leader="none"/>
        </w:tabs>
        <w:spacing w:line="288" w:lineRule="auto" w:before="240" w:after="0"/>
        <w:ind w:left="113" w:right="672" w:firstLine="0"/>
        <w:jc w:val="left"/>
        <w:rPr>
          <w:sz w:val="24"/>
        </w:rPr>
      </w:pPr>
      <w:r>
        <w:rPr>
          <w:sz w:val="24"/>
        </w:rPr>
        <w:t>Effective RSE does not encourage early sexual experimentation. It should teach young people to understand human sexuality and to respect themselves and others. It enables young people to mature, build their confidence and self-esteem and understand the reasons for delaying sexual activity. Effective RSE also supports people, throughout life, to develop safe, fulfilling and healthy sexual relationships, at the appropriate</w:t>
      </w:r>
      <w:r>
        <w:rPr>
          <w:spacing w:val="-30"/>
          <w:sz w:val="24"/>
        </w:rPr>
        <w:t> </w:t>
      </w:r>
      <w:r>
        <w:rPr>
          <w:sz w:val="24"/>
        </w:rPr>
        <w:t>time.</w:t>
      </w:r>
    </w:p>
    <w:p>
      <w:pPr>
        <w:pStyle w:val="ListParagraph"/>
        <w:numPr>
          <w:ilvl w:val="0"/>
          <w:numId w:val="23"/>
        </w:numPr>
        <w:tabs>
          <w:tab w:pos="833" w:val="left" w:leader="none"/>
          <w:tab w:pos="834" w:val="left" w:leader="none"/>
        </w:tabs>
        <w:spacing w:line="288" w:lineRule="auto" w:before="241" w:after="0"/>
        <w:ind w:left="113" w:right="563" w:firstLine="0"/>
        <w:jc w:val="left"/>
        <w:rPr>
          <w:sz w:val="24"/>
        </w:rPr>
      </w:pPr>
      <w:r>
        <w:rPr>
          <w:sz w:val="24"/>
        </w:rPr>
        <w:t>Knowledge about safer sex and sexual health remains important to ensure that young people are equipped to make safe, informed and healthy choices as they progress through adult life. This should be delivered in a non-judgemental, factual way and allow scope for young people to ask questions in a safe environment. Many teachers use approaches such as distancing techniques, setting ground rules with the class to help manage sensitive discussion and using question boxes to allow pupils to raise issues anonymously.</w:t>
      </w:r>
    </w:p>
    <w:p>
      <w:pPr>
        <w:pStyle w:val="ListParagraph"/>
        <w:numPr>
          <w:ilvl w:val="0"/>
          <w:numId w:val="23"/>
        </w:numPr>
        <w:tabs>
          <w:tab w:pos="833" w:val="left" w:leader="none"/>
          <w:tab w:pos="834" w:val="left" w:leader="none"/>
        </w:tabs>
        <w:spacing w:line="288" w:lineRule="auto" w:before="239" w:after="0"/>
        <w:ind w:left="113" w:right="580" w:firstLine="0"/>
        <w:jc w:val="left"/>
        <w:rPr>
          <w:sz w:val="24"/>
        </w:rPr>
      </w:pPr>
      <w:r>
        <w:rPr>
          <w:sz w:val="24"/>
        </w:rPr>
        <w:t>RSE should provide clear progression from what is taught in primary school in Relationships Education. Teachers should build on the foundation of Relationships Education and, as pupils grow up, at the appropriate time extend teaching to include intimate relationships. Alongside being taught about intimate relationships, pupils should also be taught about family relationships, friendships and other kinds of relationships that are an equally important part of becoming a successful and happy adult. This teaching should enable pupils to distinguish between content and experiences that exemplify healthy relationships and those that are distorted or</w:t>
      </w:r>
      <w:r>
        <w:rPr>
          <w:spacing w:val="-3"/>
          <w:sz w:val="24"/>
        </w:rPr>
        <w:t> </w:t>
      </w:r>
      <w:r>
        <w:rPr>
          <w:sz w:val="24"/>
        </w:rPr>
        <w:t>harmful.</w:t>
      </w:r>
    </w:p>
    <w:p>
      <w:pPr>
        <w:pStyle w:val="ListParagraph"/>
        <w:numPr>
          <w:ilvl w:val="0"/>
          <w:numId w:val="23"/>
        </w:numPr>
        <w:tabs>
          <w:tab w:pos="833" w:val="left" w:leader="none"/>
          <w:tab w:pos="834" w:val="left" w:leader="none"/>
        </w:tabs>
        <w:spacing w:line="288" w:lineRule="auto" w:before="240" w:after="0"/>
        <w:ind w:left="113" w:right="578" w:firstLine="0"/>
        <w:jc w:val="left"/>
        <w:rPr>
          <w:sz w:val="24"/>
        </w:rPr>
      </w:pPr>
      <w:r>
        <w:rPr>
          <w:sz w:val="24"/>
        </w:rPr>
        <w:t>Pupils should understand the benefits of healthy relationships to their mental wellbeing and self-respect. Through gaining the knowledge of what a healthy relationship is like, they can be empowered to identify when relationships are unhealthy. They should be taught that unhealthy relationships can have a lasting, negative impact on mental wellbeing.</w:t>
      </w:r>
    </w:p>
    <w:p>
      <w:pPr>
        <w:pStyle w:val="ListParagraph"/>
        <w:numPr>
          <w:ilvl w:val="0"/>
          <w:numId w:val="23"/>
        </w:numPr>
        <w:tabs>
          <w:tab w:pos="833" w:val="left" w:leader="none"/>
          <w:tab w:pos="834" w:val="left" w:leader="none"/>
        </w:tabs>
        <w:spacing w:line="288" w:lineRule="auto" w:before="240" w:after="0"/>
        <w:ind w:left="113" w:right="593" w:firstLine="0"/>
        <w:jc w:val="left"/>
        <w:rPr>
          <w:sz w:val="24"/>
        </w:rPr>
      </w:pPr>
      <w:r>
        <w:rPr>
          <w:sz w:val="24"/>
        </w:rPr>
        <w:t>As in primary, secondary Relationships Education can be underpinned by a wider, deliberate cultivation and practice of resilience and character in the individual. These should include character traits such as belief in achieving goals and persevering with tasks, as well as personal attributes such as honesty, integrity, courage,</w:t>
      </w:r>
      <w:r>
        <w:rPr>
          <w:spacing w:val="-14"/>
          <w:sz w:val="24"/>
        </w:rPr>
        <w:t> </w:t>
      </w:r>
      <w:r>
        <w:rPr>
          <w:sz w:val="24"/>
        </w:rPr>
        <w:t>humility,</w:t>
      </w:r>
    </w:p>
    <w:p>
      <w:pPr>
        <w:spacing w:after="0" w:line="288" w:lineRule="auto"/>
        <w:jc w:val="left"/>
        <w:rPr>
          <w:sz w:val="24"/>
        </w:rPr>
        <w:sectPr>
          <w:pgSz w:w="11910" w:h="16840"/>
          <w:pgMar w:header="708" w:footer="783" w:top="980" w:bottom="980" w:left="1020" w:right="760"/>
        </w:sectPr>
      </w:pPr>
    </w:p>
    <w:p>
      <w:pPr>
        <w:pStyle w:val="BodyText"/>
        <w:spacing w:line="288" w:lineRule="auto" w:before="138"/>
        <w:ind w:left="114" w:right="656"/>
      </w:pPr>
      <w:r>
        <w:rPr/>
        <w:t>kindness, generosity, trustworthiness and a sense of justice, underpinned by an understanding of the importance of self-respect and self-worth. There are many ways in which secondary schools should support the development of these attributes, for example by providing planned opportunities for young people to undertake social action, active citizenship and voluntary service to others locally or more widely.</w:t>
      </w:r>
    </w:p>
    <w:p>
      <w:pPr>
        <w:pStyle w:val="ListParagraph"/>
        <w:numPr>
          <w:ilvl w:val="0"/>
          <w:numId w:val="23"/>
        </w:numPr>
        <w:tabs>
          <w:tab w:pos="833" w:val="left" w:leader="none"/>
          <w:tab w:pos="834" w:val="left" w:leader="none"/>
        </w:tabs>
        <w:spacing w:line="288" w:lineRule="auto" w:before="240" w:after="0"/>
        <w:ind w:left="114" w:right="563" w:firstLine="0"/>
        <w:jc w:val="left"/>
        <w:rPr>
          <w:sz w:val="24"/>
        </w:rPr>
      </w:pPr>
      <w:r>
        <w:rPr>
          <w:sz w:val="24"/>
        </w:rPr>
        <w:t>Pupils should be taught the facts and the law about sex, sexuality, sexual health and gender identity in an age-appropriate and inclusive way. All pupils should feel that the content is relevant to them and their developing sexuality. Sexual orientation and gender identity should be explored at a timely point and in a clear, sensitive and respectful manner. When teaching about these topics, it must be recognised that young people may be discovering or understanding their sexual orientation or gender identity. There should be an equal opportunity to explore the features of stable and healthy same- sex relationships. This should be integrated appropriately into the RSE programme, rather than addressed separately or in only one</w:t>
      </w:r>
      <w:r>
        <w:rPr>
          <w:spacing w:val="-2"/>
          <w:sz w:val="24"/>
        </w:rPr>
        <w:t> </w:t>
      </w:r>
      <w:r>
        <w:rPr>
          <w:sz w:val="24"/>
        </w:rPr>
        <w:t>lesson.</w:t>
      </w:r>
    </w:p>
    <w:p>
      <w:pPr>
        <w:pStyle w:val="ListParagraph"/>
        <w:numPr>
          <w:ilvl w:val="0"/>
          <w:numId w:val="23"/>
        </w:numPr>
        <w:tabs>
          <w:tab w:pos="833" w:val="left" w:leader="none"/>
          <w:tab w:pos="834" w:val="left" w:leader="none"/>
        </w:tabs>
        <w:spacing w:line="288" w:lineRule="auto" w:before="241" w:after="0"/>
        <w:ind w:left="114" w:right="536" w:firstLine="0"/>
        <w:jc w:val="left"/>
        <w:rPr>
          <w:sz w:val="24"/>
        </w:rPr>
      </w:pPr>
      <w:r>
        <w:rPr>
          <w:sz w:val="24"/>
        </w:rPr>
        <w:t>It is recognised that there will be a range of opinions regarding RSE. The starting principle when teaching each of these must be that the applicable law should be taught in a factual way so that pupils are clear on their rights and responsibilities as</w:t>
      </w:r>
      <w:r>
        <w:rPr>
          <w:spacing w:val="-22"/>
          <w:sz w:val="24"/>
        </w:rPr>
        <w:t> </w:t>
      </w:r>
      <w:r>
        <w:rPr>
          <w:sz w:val="24"/>
        </w:rPr>
        <w:t>citizens.</w:t>
      </w:r>
    </w:p>
    <w:p>
      <w:pPr>
        <w:pStyle w:val="ListParagraph"/>
        <w:numPr>
          <w:ilvl w:val="0"/>
          <w:numId w:val="23"/>
        </w:numPr>
        <w:tabs>
          <w:tab w:pos="833" w:val="left" w:leader="none"/>
          <w:tab w:pos="834" w:val="left" w:leader="none"/>
        </w:tabs>
        <w:spacing w:line="288" w:lineRule="auto" w:before="240" w:after="0"/>
        <w:ind w:left="114" w:right="1085" w:firstLine="0"/>
        <w:jc w:val="left"/>
        <w:rPr>
          <w:sz w:val="24"/>
        </w:rPr>
      </w:pPr>
      <w:r>
        <w:rPr>
          <w:sz w:val="24"/>
        </w:rPr>
        <w:t>Schools may choose to explore faith, or other perspectives, on some of these issues in other subjects such as Religious</w:t>
      </w:r>
      <w:r>
        <w:rPr>
          <w:spacing w:val="-4"/>
          <w:sz w:val="24"/>
        </w:rPr>
        <w:t> </w:t>
      </w:r>
      <w:r>
        <w:rPr>
          <w:sz w:val="24"/>
        </w:rPr>
        <w:t>Education.</w:t>
      </w:r>
    </w:p>
    <w:p>
      <w:pPr>
        <w:pStyle w:val="ListParagraph"/>
        <w:numPr>
          <w:ilvl w:val="0"/>
          <w:numId w:val="23"/>
        </w:numPr>
        <w:tabs>
          <w:tab w:pos="833" w:val="left" w:leader="none"/>
          <w:tab w:pos="834" w:val="left" w:leader="none"/>
        </w:tabs>
        <w:spacing w:line="288" w:lineRule="auto" w:before="240" w:after="0"/>
        <w:ind w:left="114" w:right="579" w:firstLine="0"/>
        <w:jc w:val="left"/>
        <w:rPr>
          <w:sz w:val="24"/>
        </w:rPr>
      </w:pPr>
      <w:r>
        <w:rPr>
          <w:sz w:val="24"/>
        </w:rPr>
        <w:t>Pupils should be well informed about the full range of perspectives and, within the law, should be well equipped to make decisions for themselves about how to live their own lives, whilst respecting the right of others to make their own decisions and hold their own beliefs. Key aspects of the law relating to sex which should be taught include the age of consent, what consent is and is not, the definitions and recognition of rape, sexual assault and harassment, and choices permitted by the law around</w:t>
      </w:r>
      <w:r>
        <w:rPr>
          <w:spacing w:val="-10"/>
          <w:sz w:val="24"/>
        </w:rPr>
        <w:t> </w:t>
      </w:r>
      <w:r>
        <w:rPr>
          <w:sz w:val="24"/>
        </w:rPr>
        <w:t>pregnancy.</w:t>
      </w:r>
    </w:p>
    <w:p>
      <w:pPr>
        <w:pStyle w:val="ListParagraph"/>
        <w:numPr>
          <w:ilvl w:val="0"/>
          <w:numId w:val="23"/>
        </w:numPr>
        <w:tabs>
          <w:tab w:pos="833" w:val="left" w:leader="none"/>
          <w:tab w:pos="834" w:val="left" w:leader="none"/>
        </w:tabs>
        <w:spacing w:line="288" w:lineRule="auto" w:before="239" w:after="0"/>
        <w:ind w:left="114" w:right="647" w:firstLine="0"/>
        <w:jc w:val="left"/>
        <w:rPr>
          <w:sz w:val="24"/>
        </w:rPr>
      </w:pPr>
      <w:r>
        <w:rPr>
          <w:sz w:val="24"/>
        </w:rPr>
        <w:t>Grooming, sexual exploitation and domestic abuse, including coercive and controlling behaviour, should also be addressed sensitively and clearly. Schools should address the physical and emotional damage caused by female genital mutilation (FGM). They should also be taught where to find support and that it is a criminal offence to perform or assist in the performance of FGM or fail to protect a person for whom you are responsible from FGM. As well as addressing this in the context of the law, pupils may also need support to recognise when relationships (including family relationships) are unhealthy or abusive (including the unacceptability of neglect, emotional, sexual and physical abuse and violence, including honour-based violence and forced marriage) and strategies to manage this or access support for oneself or others at risk. Schools should also be mindful that for pupils who are or have experienced unhealthy or unsafe relationships at home or socially, the school may have a particularly important role in being a place of consistency and safety where they can easily speak to trusted adults, report problems and find support.</w:t>
      </w:r>
    </w:p>
    <w:p>
      <w:pPr>
        <w:spacing w:after="0" w:line="288" w:lineRule="auto"/>
        <w:jc w:val="left"/>
        <w:rPr>
          <w:sz w:val="24"/>
        </w:rPr>
        <w:sectPr>
          <w:pgSz w:w="11910" w:h="16840"/>
          <w:pgMar w:header="708" w:footer="783" w:top="980" w:bottom="980" w:left="1020" w:right="760"/>
        </w:sectPr>
      </w:pPr>
    </w:p>
    <w:p>
      <w:pPr>
        <w:pStyle w:val="ListParagraph"/>
        <w:numPr>
          <w:ilvl w:val="0"/>
          <w:numId w:val="23"/>
        </w:numPr>
        <w:tabs>
          <w:tab w:pos="833" w:val="left" w:leader="none"/>
          <w:tab w:pos="834" w:val="left" w:leader="none"/>
        </w:tabs>
        <w:spacing w:line="288" w:lineRule="auto" w:before="138" w:after="0"/>
        <w:ind w:left="114" w:right="578" w:firstLine="0"/>
        <w:jc w:val="left"/>
        <w:rPr>
          <w:sz w:val="24"/>
        </w:rPr>
      </w:pPr>
      <w:r>
        <w:rPr>
          <w:sz w:val="24"/>
        </w:rPr>
        <w:t>Internet safety should also be addressed. Pupils should be taught the rules and principles for keeping safe online. This will include how to recognise risks, harmful content and contact, and how and to whom to report issues. Pupils should have a strong understanding of how data is generated, collected, shared and used online, for example, how personal data is captured on social media or understanding the way that businesses may exploit the data available to</w:t>
      </w:r>
      <w:r>
        <w:rPr>
          <w:spacing w:val="-1"/>
          <w:sz w:val="24"/>
        </w:rPr>
        <w:t> </w:t>
      </w:r>
      <w:r>
        <w:rPr>
          <w:sz w:val="24"/>
        </w:rPr>
        <w:t>them.</w:t>
      </w:r>
    </w:p>
    <w:p>
      <w:pPr>
        <w:pStyle w:val="ListParagraph"/>
        <w:numPr>
          <w:ilvl w:val="0"/>
          <w:numId w:val="23"/>
        </w:numPr>
        <w:tabs>
          <w:tab w:pos="833" w:val="left" w:leader="none"/>
          <w:tab w:pos="834" w:val="left" w:leader="none"/>
        </w:tabs>
        <w:spacing w:line="288" w:lineRule="auto" w:before="240" w:after="0"/>
        <w:ind w:left="113" w:right="538" w:firstLine="0"/>
        <w:jc w:val="left"/>
        <w:rPr>
          <w:sz w:val="24"/>
        </w:rPr>
      </w:pPr>
      <w:r>
        <w:rPr>
          <w:sz w:val="24"/>
        </w:rPr>
        <w:t>Some pupils are also exposed to harmful behaviours online, and via other forms of media, which may normalise violent sexual behaviours. A focus on healthy relationships and broader Relationships Education can help young people understand acceptable behaviours in</w:t>
      </w:r>
      <w:r>
        <w:rPr>
          <w:spacing w:val="-1"/>
          <w:sz w:val="24"/>
        </w:rPr>
        <w:t> </w:t>
      </w:r>
      <w:r>
        <w:rPr>
          <w:sz w:val="24"/>
        </w:rPr>
        <w:t>relationships.</w:t>
      </w:r>
    </w:p>
    <w:p>
      <w:pPr>
        <w:pStyle w:val="BodyText"/>
        <w:spacing w:before="5"/>
        <w:rPr>
          <w:sz w:val="31"/>
        </w:rPr>
      </w:pPr>
    </w:p>
    <w:p>
      <w:pPr>
        <w:pStyle w:val="Heading3"/>
        <w:spacing w:before="0"/>
        <w:ind w:left="114"/>
      </w:pPr>
      <w:bookmarkStart w:name="By the end of secondary school:" w:id="58"/>
      <w:bookmarkEnd w:id="58"/>
      <w:r>
        <w:rPr>
          <w:b w:val="0"/>
        </w:rPr>
      </w:r>
      <w:bookmarkStart w:name="_bookmark32" w:id="59"/>
      <w:bookmarkEnd w:id="59"/>
      <w:r>
        <w:rPr>
          <w:b w:val="0"/>
        </w:rPr>
      </w:r>
      <w:r>
        <w:rPr>
          <w:color w:val="02466C"/>
        </w:rPr>
        <w:t>By the end of secondary school:</w:t>
      </w:r>
    </w:p>
    <w:p>
      <w:pPr>
        <w:pStyle w:val="Heading8"/>
        <w:spacing w:line="288" w:lineRule="auto" w:before="240"/>
        <w:ind w:left="114" w:right="661"/>
      </w:pPr>
      <w:r>
        <w:rPr/>
        <w:t>Schools should continue to develop knowledge on topics specified for primary as required </w:t>
      </w:r>
      <w:r>
        <w:rPr>
          <w:u w:val="thick"/>
        </w:rPr>
        <w:t>and in addition</w:t>
      </w:r>
      <w:r>
        <w:rPr/>
        <w:t> cover the following content by the end of secondary:</w:t>
      </w:r>
    </w:p>
    <w:p>
      <w:pPr>
        <w:pStyle w:val="BodyText"/>
        <w:spacing w:before="10" w:after="1"/>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7654"/>
      </w:tblGrid>
      <w:tr>
        <w:trPr>
          <w:trHeight w:val="6400" w:hRule="atLeast"/>
        </w:trPr>
        <w:tc>
          <w:tcPr>
            <w:tcW w:w="1702" w:type="dxa"/>
          </w:tcPr>
          <w:p>
            <w:pPr>
              <w:pStyle w:val="TableParagraph"/>
              <w:spacing w:line="275" w:lineRule="exact"/>
              <w:ind w:left="107"/>
              <w:rPr>
                <w:b/>
                <w:sz w:val="24"/>
              </w:rPr>
            </w:pPr>
            <w:r>
              <w:rPr>
                <w:b/>
                <w:sz w:val="24"/>
              </w:rPr>
              <w:t>Families</w:t>
            </w:r>
          </w:p>
        </w:tc>
        <w:tc>
          <w:tcPr>
            <w:tcW w:w="7654" w:type="dxa"/>
          </w:tcPr>
          <w:p>
            <w:pPr>
              <w:pStyle w:val="TableParagraph"/>
              <w:spacing w:line="275" w:lineRule="exact"/>
              <w:ind w:left="106"/>
              <w:rPr>
                <w:sz w:val="24"/>
              </w:rPr>
            </w:pPr>
            <w:r>
              <w:rPr>
                <w:sz w:val="24"/>
              </w:rPr>
              <w:t>Pupils should know</w:t>
            </w:r>
          </w:p>
          <w:p>
            <w:pPr>
              <w:pStyle w:val="TableParagraph"/>
              <w:numPr>
                <w:ilvl w:val="0"/>
                <w:numId w:val="24"/>
              </w:numPr>
              <w:tabs>
                <w:tab w:pos="466" w:val="left" w:leader="none"/>
                <w:tab w:pos="467" w:val="left" w:leader="none"/>
              </w:tabs>
              <w:spacing w:line="240" w:lineRule="auto" w:before="228" w:after="0"/>
              <w:ind w:left="466" w:right="0" w:hanging="361"/>
              <w:jc w:val="left"/>
              <w:rPr>
                <w:sz w:val="24"/>
              </w:rPr>
            </w:pPr>
            <w:r>
              <w:rPr>
                <w:sz w:val="24"/>
              </w:rPr>
              <w:t>that there are different types of committed, stable</w:t>
            </w:r>
            <w:r>
              <w:rPr>
                <w:spacing w:val="-17"/>
                <w:sz w:val="24"/>
              </w:rPr>
              <w:t> </w:t>
            </w:r>
            <w:r>
              <w:rPr>
                <w:sz w:val="24"/>
              </w:rPr>
              <w:t>relationships.</w:t>
            </w:r>
          </w:p>
          <w:p>
            <w:pPr>
              <w:pStyle w:val="TableParagraph"/>
              <w:numPr>
                <w:ilvl w:val="0"/>
                <w:numId w:val="24"/>
              </w:numPr>
              <w:tabs>
                <w:tab w:pos="466" w:val="left" w:leader="none"/>
                <w:tab w:pos="467" w:val="left" w:leader="none"/>
              </w:tabs>
              <w:spacing w:line="240" w:lineRule="auto" w:before="106" w:after="0"/>
              <w:ind w:left="466" w:right="198" w:hanging="360"/>
              <w:jc w:val="left"/>
              <w:rPr>
                <w:sz w:val="24"/>
              </w:rPr>
            </w:pPr>
            <w:r>
              <w:rPr>
                <w:sz w:val="24"/>
              </w:rPr>
              <w:t>how these relationships might contribute to human happiness and their importance for bringing up</w:t>
            </w:r>
            <w:r>
              <w:rPr>
                <w:spacing w:val="-1"/>
                <w:sz w:val="24"/>
              </w:rPr>
              <w:t> </w:t>
            </w:r>
            <w:r>
              <w:rPr>
                <w:sz w:val="24"/>
              </w:rPr>
              <w:t>children.</w:t>
            </w:r>
          </w:p>
          <w:p>
            <w:pPr>
              <w:pStyle w:val="TableParagraph"/>
              <w:numPr>
                <w:ilvl w:val="0"/>
                <w:numId w:val="24"/>
              </w:numPr>
              <w:tabs>
                <w:tab w:pos="466" w:val="left" w:leader="none"/>
                <w:tab w:pos="467" w:val="left" w:leader="none"/>
              </w:tabs>
              <w:spacing w:line="242" w:lineRule="auto" w:before="110" w:after="0"/>
              <w:ind w:left="466" w:right="440" w:hanging="360"/>
              <w:jc w:val="left"/>
              <w:rPr>
                <w:sz w:val="24"/>
              </w:rPr>
            </w:pPr>
            <w:r>
              <w:rPr>
                <w:sz w:val="24"/>
              </w:rPr>
              <w:t>what marriage is, including their legal status e.g. that marriage carries legal rights and protections not available to couples</w:t>
            </w:r>
            <w:r>
              <w:rPr>
                <w:spacing w:val="-32"/>
                <w:sz w:val="24"/>
              </w:rPr>
              <w:t> </w:t>
            </w:r>
            <w:r>
              <w:rPr>
                <w:sz w:val="24"/>
              </w:rPr>
              <w:t>who are cohabiting or who have married, for example, in an unregistered religious</w:t>
            </w:r>
            <w:r>
              <w:rPr>
                <w:spacing w:val="-1"/>
                <w:sz w:val="24"/>
              </w:rPr>
              <w:t> </w:t>
            </w:r>
            <w:r>
              <w:rPr>
                <w:sz w:val="24"/>
              </w:rPr>
              <w:t>ceremony.</w:t>
            </w:r>
          </w:p>
          <w:p>
            <w:pPr>
              <w:pStyle w:val="TableParagraph"/>
              <w:numPr>
                <w:ilvl w:val="0"/>
                <w:numId w:val="24"/>
              </w:numPr>
              <w:tabs>
                <w:tab w:pos="466" w:val="left" w:leader="none"/>
                <w:tab w:pos="467" w:val="left" w:leader="none"/>
              </w:tabs>
              <w:spacing w:line="240" w:lineRule="auto" w:before="107" w:after="0"/>
              <w:ind w:left="466" w:right="147" w:hanging="360"/>
              <w:jc w:val="left"/>
              <w:rPr>
                <w:sz w:val="24"/>
              </w:rPr>
            </w:pPr>
            <w:r>
              <w:rPr>
                <w:sz w:val="24"/>
              </w:rPr>
              <w:t>why marriage is an important relationship choice for many</w:t>
            </w:r>
            <w:r>
              <w:rPr>
                <w:spacing w:val="-31"/>
                <w:sz w:val="24"/>
              </w:rPr>
              <w:t> </w:t>
            </w:r>
            <w:r>
              <w:rPr>
                <w:sz w:val="24"/>
              </w:rPr>
              <w:t>couples and why it must be freely entered into.</w:t>
            </w:r>
          </w:p>
          <w:p>
            <w:pPr>
              <w:pStyle w:val="TableParagraph"/>
              <w:numPr>
                <w:ilvl w:val="0"/>
                <w:numId w:val="24"/>
              </w:numPr>
              <w:tabs>
                <w:tab w:pos="466" w:val="left" w:leader="none"/>
                <w:tab w:pos="467" w:val="left" w:leader="none"/>
              </w:tabs>
              <w:spacing w:line="240" w:lineRule="auto" w:before="110" w:after="0"/>
              <w:ind w:left="466" w:right="626" w:hanging="360"/>
              <w:jc w:val="left"/>
              <w:rPr>
                <w:sz w:val="24"/>
              </w:rPr>
            </w:pPr>
            <w:r>
              <w:rPr>
                <w:sz w:val="24"/>
              </w:rPr>
              <w:t>the characteristics and legal status of other types of long-term relationships.</w:t>
            </w:r>
          </w:p>
          <w:p>
            <w:pPr>
              <w:pStyle w:val="TableParagraph"/>
              <w:numPr>
                <w:ilvl w:val="0"/>
                <w:numId w:val="24"/>
              </w:numPr>
              <w:tabs>
                <w:tab w:pos="466" w:val="left" w:leader="none"/>
                <w:tab w:pos="467" w:val="left" w:leader="none"/>
              </w:tabs>
              <w:spacing w:line="242" w:lineRule="auto" w:before="109" w:after="0"/>
              <w:ind w:left="466" w:right="359" w:hanging="360"/>
              <w:jc w:val="left"/>
              <w:rPr>
                <w:sz w:val="24"/>
              </w:rPr>
            </w:pPr>
            <w:r>
              <w:rPr>
                <w:sz w:val="24"/>
              </w:rPr>
              <w:t>the roles and responsibilities of parents with respect to raising of children, including the characteristics of successful</w:t>
            </w:r>
            <w:r>
              <w:rPr>
                <w:spacing w:val="-16"/>
                <w:sz w:val="24"/>
              </w:rPr>
              <w:t> </w:t>
            </w:r>
            <w:r>
              <w:rPr>
                <w:sz w:val="24"/>
              </w:rPr>
              <w:t>parenting.</w:t>
            </w:r>
          </w:p>
          <w:p>
            <w:pPr>
              <w:pStyle w:val="TableParagraph"/>
              <w:numPr>
                <w:ilvl w:val="0"/>
                <w:numId w:val="24"/>
              </w:numPr>
              <w:tabs>
                <w:tab w:pos="466" w:val="left" w:leader="none"/>
                <w:tab w:pos="467" w:val="left" w:leader="none"/>
              </w:tabs>
              <w:spacing w:line="242" w:lineRule="auto" w:before="105" w:after="0"/>
              <w:ind w:left="466" w:right="143" w:hanging="360"/>
              <w:jc w:val="left"/>
              <w:rPr>
                <w:sz w:val="24"/>
              </w:rPr>
            </w:pPr>
            <w:r>
              <w:rPr>
                <w:sz w:val="24"/>
              </w:rPr>
              <w:t>how to: determine whether other children, adults or sources of information are trustworthy: judge when a family, friend, intimate or other relationship is unsafe (and to recognise this in others’ relationships); and, how to seek help or advice, including reporting concerns about others, if</w:t>
            </w:r>
            <w:r>
              <w:rPr>
                <w:spacing w:val="1"/>
                <w:sz w:val="24"/>
              </w:rPr>
              <w:t> </w:t>
            </w:r>
            <w:r>
              <w:rPr>
                <w:sz w:val="24"/>
              </w:rPr>
              <w:t>needed.</w:t>
            </w:r>
          </w:p>
        </w:tc>
      </w:tr>
      <w:tr>
        <w:trPr>
          <w:trHeight w:val="2039" w:hRule="atLeast"/>
        </w:trPr>
        <w:tc>
          <w:tcPr>
            <w:tcW w:w="1702" w:type="dxa"/>
          </w:tcPr>
          <w:p>
            <w:pPr>
              <w:pStyle w:val="TableParagraph"/>
              <w:spacing w:line="288" w:lineRule="auto"/>
              <w:ind w:left="107" w:right="4"/>
              <w:rPr>
                <w:b/>
                <w:sz w:val="24"/>
              </w:rPr>
            </w:pPr>
            <w:r>
              <w:rPr>
                <w:b/>
                <w:sz w:val="24"/>
              </w:rPr>
              <w:t>Respectful relationships, including friendships</w:t>
            </w:r>
          </w:p>
        </w:tc>
        <w:tc>
          <w:tcPr>
            <w:tcW w:w="7654" w:type="dxa"/>
          </w:tcPr>
          <w:p>
            <w:pPr>
              <w:pStyle w:val="TableParagraph"/>
              <w:spacing w:line="275" w:lineRule="exact"/>
              <w:ind w:left="106"/>
              <w:rPr>
                <w:sz w:val="24"/>
              </w:rPr>
            </w:pPr>
            <w:r>
              <w:rPr>
                <w:sz w:val="24"/>
              </w:rPr>
              <w:t>Pupils should know</w:t>
            </w:r>
          </w:p>
          <w:p>
            <w:pPr>
              <w:pStyle w:val="TableParagraph"/>
              <w:numPr>
                <w:ilvl w:val="0"/>
                <w:numId w:val="25"/>
              </w:numPr>
              <w:tabs>
                <w:tab w:pos="466" w:val="left" w:leader="none"/>
                <w:tab w:pos="467" w:val="left" w:leader="none"/>
              </w:tabs>
              <w:spacing w:line="242" w:lineRule="auto" w:before="227" w:after="0"/>
              <w:ind w:left="466" w:right="426" w:hanging="360"/>
              <w:jc w:val="left"/>
              <w:rPr>
                <w:sz w:val="24"/>
              </w:rPr>
            </w:pPr>
            <w:r>
              <w:rPr>
                <w:sz w:val="24"/>
              </w:rPr>
              <w:t>the characteristics of positive and healthy friendships (in all contexts, including online) including: trust, respect, honesty, kindness, generosity, boundaries, privacy, consent and the management of conflict, reconciliation and ending</w:t>
            </w:r>
            <w:r>
              <w:rPr>
                <w:spacing w:val="-31"/>
                <w:sz w:val="24"/>
              </w:rPr>
              <w:t> </w:t>
            </w:r>
            <w:r>
              <w:rPr>
                <w:sz w:val="24"/>
              </w:rPr>
              <w:t>relationships. This includes different (non-sexual) types of</w:t>
            </w:r>
            <w:r>
              <w:rPr>
                <w:spacing w:val="-13"/>
                <w:sz w:val="24"/>
              </w:rPr>
              <w:t> </w:t>
            </w:r>
            <w:r>
              <w:rPr>
                <w:sz w:val="24"/>
              </w:rPr>
              <w:t>relationship.</w:t>
            </w:r>
          </w:p>
        </w:tc>
      </w:tr>
    </w:tbl>
    <w:p>
      <w:pPr>
        <w:spacing w:after="0" w:line="242" w:lineRule="auto"/>
        <w:jc w:val="left"/>
        <w:rPr>
          <w:sz w:val="24"/>
        </w:rPr>
        <w:sectPr>
          <w:pgSz w:w="11910" w:h="16840"/>
          <w:pgMar w:header="708" w:footer="783" w:top="980" w:bottom="980" w:left="1020" w:right="760"/>
        </w:sectPr>
      </w:pPr>
    </w:p>
    <w:p>
      <w:pPr>
        <w:pStyle w:val="BodyText"/>
        <w:spacing w:before="2"/>
        <w:rPr>
          <w:b/>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7654"/>
      </w:tblGrid>
      <w:tr>
        <w:trPr>
          <w:trHeight w:val="6440" w:hRule="atLeast"/>
        </w:trPr>
        <w:tc>
          <w:tcPr>
            <w:tcW w:w="1702" w:type="dxa"/>
          </w:tcPr>
          <w:p>
            <w:pPr>
              <w:pStyle w:val="TableParagraph"/>
              <w:ind w:left="0"/>
              <w:rPr>
                <w:rFonts w:ascii="Times New Roman"/>
                <w:sz w:val="24"/>
              </w:rPr>
            </w:pPr>
          </w:p>
        </w:tc>
        <w:tc>
          <w:tcPr>
            <w:tcW w:w="7654" w:type="dxa"/>
          </w:tcPr>
          <w:p>
            <w:pPr>
              <w:pStyle w:val="TableParagraph"/>
              <w:numPr>
                <w:ilvl w:val="0"/>
                <w:numId w:val="26"/>
              </w:numPr>
              <w:tabs>
                <w:tab w:pos="466" w:val="left" w:leader="none"/>
                <w:tab w:pos="467" w:val="left" w:leader="none"/>
              </w:tabs>
              <w:spacing w:line="277" w:lineRule="exact" w:before="0" w:after="0"/>
              <w:ind w:left="466" w:right="0" w:hanging="361"/>
              <w:jc w:val="left"/>
              <w:rPr>
                <w:sz w:val="24"/>
              </w:rPr>
            </w:pPr>
            <w:r>
              <w:rPr>
                <w:sz w:val="24"/>
              </w:rPr>
              <w:t>practical steps they can take in a range of different contexts</w:t>
            </w:r>
            <w:r>
              <w:rPr>
                <w:spacing w:val="-14"/>
                <w:sz w:val="24"/>
              </w:rPr>
              <w:t> </w:t>
            </w:r>
            <w:r>
              <w:rPr>
                <w:sz w:val="24"/>
              </w:rPr>
              <w:t>to</w:t>
            </w:r>
          </w:p>
          <w:p>
            <w:pPr>
              <w:pStyle w:val="TableParagraph"/>
              <w:spacing w:before="3"/>
              <w:ind w:left="466"/>
              <w:rPr>
                <w:sz w:val="24"/>
              </w:rPr>
            </w:pPr>
            <w:r>
              <w:rPr>
                <w:sz w:val="24"/>
              </w:rPr>
              <w:t>improve or support respectful relationships.</w:t>
            </w:r>
          </w:p>
          <w:p>
            <w:pPr>
              <w:pStyle w:val="TableParagraph"/>
              <w:numPr>
                <w:ilvl w:val="0"/>
                <w:numId w:val="26"/>
              </w:numPr>
              <w:tabs>
                <w:tab w:pos="466" w:val="left" w:leader="none"/>
                <w:tab w:pos="467" w:val="left" w:leader="none"/>
              </w:tabs>
              <w:spacing w:line="242" w:lineRule="auto" w:before="107" w:after="0"/>
              <w:ind w:left="466" w:right="306" w:hanging="360"/>
              <w:jc w:val="left"/>
              <w:rPr>
                <w:sz w:val="24"/>
              </w:rPr>
            </w:pPr>
            <w:r>
              <w:rPr>
                <w:sz w:val="24"/>
              </w:rPr>
              <w:t>how stereotypes, in particular stereotypes based on sex,</w:t>
            </w:r>
            <w:r>
              <w:rPr>
                <w:spacing w:val="-28"/>
                <w:sz w:val="24"/>
              </w:rPr>
              <w:t> </w:t>
            </w:r>
            <w:r>
              <w:rPr>
                <w:sz w:val="24"/>
              </w:rPr>
              <w:t>gender, race, religion, sexual orientation or disability, can cause damage (e.g. how they might normalise non-consensual behaviour or encourage prejudice).</w:t>
            </w:r>
          </w:p>
          <w:p>
            <w:pPr>
              <w:pStyle w:val="TableParagraph"/>
              <w:numPr>
                <w:ilvl w:val="0"/>
                <w:numId w:val="26"/>
              </w:numPr>
              <w:tabs>
                <w:tab w:pos="466" w:val="left" w:leader="none"/>
                <w:tab w:pos="467" w:val="left" w:leader="none"/>
              </w:tabs>
              <w:spacing w:line="242" w:lineRule="auto" w:before="107" w:after="0"/>
              <w:ind w:left="466" w:right="423" w:hanging="360"/>
              <w:jc w:val="left"/>
              <w:rPr>
                <w:sz w:val="24"/>
              </w:rPr>
            </w:pPr>
            <w:r>
              <w:rPr>
                <w:sz w:val="24"/>
              </w:rPr>
              <w:t>that in school and in wider society they can expect to be treated with respect by others, and that in turn they should show due respect to others, including people in positions of authority and due tolerance of other people’s</w:t>
            </w:r>
            <w:r>
              <w:rPr>
                <w:spacing w:val="-3"/>
                <w:sz w:val="24"/>
              </w:rPr>
              <w:t> </w:t>
            </w:r>
            <w:r>
              <w:rPr>
                <w:sz w:val="24"/>
              </w:rPr>
              <w:t>beliefs.</w:t>
            </w:r>
          </w:p>
          <w:p>
            <w:pPr>
              <w:pStyle w:val="TableParagraph"/>
              <w:numPr>
                <w:ilvl w:val="0"/>
                <w:numId w:val="26"/>
              </w:numPr>
              <w:tabs>
                <w:tab w:pos="466" w:val="left" w:leader="none"/>
                <w:tab w:pos="467" w:val="left" w:leader="none"/>
              </w:tabs>
              <w:spacing w:line="242" w:lineRule="auto" w:before="107" w:after="0"/>
              <w:ind w:left="466" w:right="267" w:hanging="360"/>
              <w:jc w:val="left"/>
              <w:rPr>
                <w:sz w:val="24"/>
              </w:rPr>
            </w:pPr>
            <w:r>
              <w:rPr>
                <w:sz w:val="24"/>
              </w:rPr>
              <w:t>about different types of bullying (including cyberbullying), the impact of bullying, responsibilities of bystanders to report</w:t>
            </w:r>
            <w:r>
              <w:rPr>
                <w:spacing w:val="-31"/>
                <w:sz w:val="24"/>
              </w:rPr>
              <w:t> </w:t>
            </w:r>
            <w:r>
              <w:rPr>
                <w:sz w:val="24"/>
              </w:rPr>
              <w:t>bullying and how and where to get</w:t>
            </w:r>
            <w:r>
              <w:rPr>
                <w:spacing w:val="-1"/>
                <w:sz w:val="24"/>
              </w:rPr>
              <w:t> </w:t>
            </w:r>
            <w:r>
              <w:rPr>
                <w:sz w:val="24"/>
              </w:rPr>
              <w:t>help.</w:t>
            </w:r>
          </w:p>
          <w:p>
            <w:pPr>
              <w:pStyle w:val="TableParagraph"/>
              <w:numPr>
                <w:ilvl w:val="0"/>
                <w:numId w:val="26"/>
              </w:numPr>
              <w:tabs>
                <w:tab w:pos="466" w:val="left" w:leader="none"/>
                <w:tab w:pos="467" w:val="left" w:leader="none"/>
              </w:tabs>
              <w:spacing w:line="240" w:lineRule="auto" w:before="106" w:after="0"/>
              <w:ind w:left="466" w:right="627" w:hanging="360"/>
              <w:jc w:val="left"/>
              <w:rPr>
                <w:sz w:val="24"/>
              </w:rPr>
            </w:pPr>
            <w:r>
              <w:rPr>
                <w:sz w:val="24"/>
              </w:rPr>
              <w:t>that some types of behaviour within relationships are</w:t>
            </w:r>
            <w:r>
              <w:rPr>
                <w:spacing w:val="-29"/>
                <w:sz w:val="24"/>
              </w:rPr>
              <w:t> </w:t>
            </w:r>
            <w:r>
              <w:rPr>
                <w:sz w:val="24"/>
              </w:rPr>
              <w:t>criminal, including violent behaviour and coercive</w:t>
            </w:r>
            <w:r>
              <w:rPr>
                <w:spacing w:val="-3"/>
                <w:sz w:val="24"/>
              </w:rPr>
              <w:t> </w:t>
            </w:r>
            <w:r>
              <w:rPr>
                <w:sz w:val="24"/>
              </w:rPr>
              <w:t>control.</w:t>
            </w:r>
          </w:p>
          <w:p>
            <w:pPr>
              <w:pStyle w:val="TableParagraph"/>
              <w:numPr>
                <w:ilvl w:val="0"/>
                <w:numId w:val="26"/>
              </w:numPr>
              <w:tabs>
                <w:tab w:pos="466" w:val="left" w:leader="none"/>
                <w:tab w:pos="467" w:val="left" w:leader="none"/>
              </w:tabs>
              <w:spacing w:line="242" w:lineRule="auto" w:before="109" w:after="0"/>
              <w:ind w:left="466" w:right="240" w:hanging="360"/>
              <w:jc w:val="left"/>
              <w:rPr>
                <w:sz w:val="24"/>
              </w:rPr>
            </w:pPr>
            <w:r>
              <w:rPr>
                <w:sz w:val="24"/>
              </w:rPr>
              <w:t>what constitutes sexual harassment and sexual violence and</w:t>
            </w:r>
            <w:r>
              <w:rPr>
                <w:spacing w:val="-29"/>
                <w:sz w:val="24"/>
              </w:rPr>
              <w:t> </w:t>
            </w:r>
            <w:r>
              <w:rPr>
                <w:sz w:val="24"/>
              </w:rPr>
              <w:t>why these are always</w:t>
            </w:r>
            <w:r>
              <w:rPr>
                <w:spacing w:val="-1"/>
                <w:sz w:val="24"/>
              </w:rPr>
              <w:t> </w:t>
            </w:r>
            <w:r>
              <w:rPr>
                <w:sz w:val="24"/>
              </w:rPr>
              <w:t>unacceptable.</w:t>
            </w:r>
          </w:p>
          <w:p>
            <w:pPr>
              <w:pStyle w:val="TableParagraph"/>
              <w:numPr>
                <w:ilvl w:val="0"/>
                <w:numId w:val="26"/>
              </w:numPr>
              <w:tabs>
                <w:tab w:pos="466" w:val="left" w:leader="none"/>
                <w:tab w:pos="467" w:val="left" w:leader="none"/>
              </w:tabs>
              <w:spacing w:line="242" w:lineRule="auto" w:before="105" w:after="0"/>
              <w:ind w:left="466" w:right="225" w:hanging="360"/>
              <w:jc w:val="left"/>
              <w:rPr>
                <w:sz w:val="24"/>
              </w:rPr>
            </w:pPr>
            <w:r>
              <w:rPr>
                <w:sz w:val="24"/>
              </w:rPr>
              <w:t>the legal rights and responsibilities regarding equality (particularly with reference to the protected characteristics as defined in the Equality Act 2010) and that everyone is unique and</w:t>
            </w:r>
            <w:r>
              <w:rPr>
                <w:spacing w:val="-11"/>
                <w:sz w:val="24"/>
              </w:rPr>
              <w:t> </w:t>
            </w:r>
            <w:r>
              <w:rPr>
                <w:sz w:val="24"/>
              </w:rPr>
              <w:t>equal.</w:t>
            </w:r>
          </w:p>
        </w:tc>
      </w:tr>
      <w:tr>
        <w:trPr>
          <w:trHeight w:val="7079" w:hRule="atLeast"/>
        </w:trPr>
        <w:tc>
          <w:tcPr>
            <w:tcW w:w="1702" w:type="dxa"/>
          </w:tcPr>
          <w:p>
            <w:pPr>
              <w:pStyle w:val="TableParagraph"/>
              <w:spacing w:line="288" w:lineRule="auto"/>
              <w:ind w:left="107" w:right="324"/>
              <w:rPr>
                <w:b/>
                <w:sz w:val="24"/>
              </w:rPr>
            </w:pPr>
            <w:r>
              <w:rPr>
                <w:b/>
                <w:sz w:val="24"/>
              </w:rPr>
              <w:t>Online and media</w:t>
            </w:r>
          </w:p>
        </w:tc>
        <w:tc>
          <w:tcPr>
            <w:tcW w:w="7654" w:type="dxa"/>
          </w:tcPr>
          <w:p>
            <w:pPr>
              <w:pStyle w:val="TableParagraph"/>
              <w:spacing w:line="275" w:lineRule="exact"/>
              <w:ind w:left="106"/>
              <w:rPr>
                <w:sz w:val="24"/>
              </w:rPr>
            </w:pPr>
            <w:r>
              <w:rPr>
                <w:sz w:val="24"/>
              </w:rPr>
              <w:t>Pupils should</w:t>
            </w:r>
            <w:r>
              <w:rPr>
                <w:spacing w:val="-11"/>
                <w:sz w:val="24"/>
              </w:rPr>
              <w:t> </w:t>
            </w:r>
            <w:r>
              <w:rPr>
                <w:sz w:val="24"/>
              </w:rPr>
              <w:t>know</w:t>
            </w:r>
          </w:p>
          <w:p>
            <w:pPr>
              <w:pStyle w:val="TableParagraph"/>
              <w:numPr>
                <w:ilvl w:val="0"/>
                <w:numId w:val="27"/>
              </w:numPr>
              <w:tabs>
                <w:tab w:pos="467" w:val="left" w:leader="none"/>
              </w:tabs>
              <w:spacing w:line="242" w:lineRule="auto" w:before="228" w:after="0"/>
              <w:ind w:left="466" w:right="147" w:hanging="360"/>
              <w:jc w:val="both"/>
              <w:rPr>
                <w:sz w:val="24"/>
              </w:rPr>
            </w:pPr>
            <w:r>
              <w:rPr>
                <w:sz w:val="24"/>
              </w:rPr>
              <w:t>their rights, responsibilities and opportunities online, including that the same expectations of behaviour apply in all contexts,</w:t>
            </w:r>
            <w:r>
              <w:rPr>
                <w:spacing w:val="-32"/>
                <w:sz w:val="24"/>
              </w:rPr>
              <w:t> </w:t>
            </w:r>
            <w:r>
              <w:rPr>
                <w:sz w:val="24"/>
              </w:rPr>
              <w:t>including online.</w:t>
            </w:r>
          </w:p>
          <w:p>
            <w:pPr>
              <w:pStyle w:val="TableParagraph"/>
              <w:numPr>
                <w:ilvl w:val="0"/>
                <w:numId w:val="27"/>
              </w:numPr>
              <w:tabs>
                <w:tab w:pos="467" w:val="left" w:leader="none"/>
              </w:tabs>
              <w:spacing w:line="242" w:lineRule="auto" w:before="106" w:after="0"/>
              <w:ind w:left="466" w:right="357" w:hanging="360"/>
              <w:jc w:val="both"/>
              <w:rPr>
                <w:sz w:val="24"/>
              </w:rPr>
            </w:pPr>
            <w:r>
              <w:rPr>
                <w:sz w:val="24"/>
              </w:rPr>
              <w:t>about online risks, including that any material someone provides to another has the potential to be shared online and the difficulty of removing potentially compromising material placed</w:t>
            </w:r>
            <w:r>
              <w:rPr>
                <w:spacing w:val="-15"/>
                <w:sz w:val="24"/>
              </w:rPr>
              <w:t> </w:t>
            </w:r>
            <w:r>
              <w:rPr>
                <w:sz w:val="24"/>
              </w:rPr>
              <w:t>online.</w:t>
            </w:r>
          </w:p>
          <w:p>
            <w:pPr>
              <w:pStyle w:val="TableParagraph"/>
              <w:numPr>
                <w:ilvl w:val="0"/>
                <w:numId w:val="27"/>
              </w:numPr>
              <w:tabs>
                <w:tab w:pos="467" w:val="left" w:leader="none"/>
              </w:tabs>
              <w:spacing w:line="240" w:lineRule="auto" w:before="105" w:after="0"/>
              <w:ind w:left="466" w:right="345" w:hanging="360"/>
              <w:jc w:val="both"/>
              <w:rPr>
                <w:sz w:val="24"/>
              </w:rPr>
            </w:pPr>
            <w:r>
              <w:rPr>
                <w:sz w:val="24"/>
              </w:rPr>
              <w:t>not to provide material to others that they would not want shared further and not to share personal material which is sent to</w:t>
            </w:r>
            <w:r>
              <w:rPr>
                <w:spacing w:val="-23"/>
                <w:sz w:val="24"/>
              </w:rPr>
              <w:t> </w:t>
            </w:r>
            <w:r>
              <w:rPr>
                <w:sz w:val="24"/>
              </w:rPr>
              <w:t>them.</w:t>
            </w:r>
          </w:p>
          <w:p>
            <w:pPr>
              <w:pStyle w:val="TableParagraph"/>
              <w:numPr>
                <w:ilvl w:val="0"/>
                <w:numId w:val="27"/>
              </w:numPr>
              <w:tabs>
                <w:tab w:pos="467" w:val="left" w:leader="none"/>
              </w:tabs>
              <w:spacing w:line="242" w:lineRule="auto" w:before="110" w:after="0"/>
              <w:ind w:left="466" w:right="251" w:hanging="360"/>
              <w:jc w:val="both"/>
              <w:rPr>
                <w:sz w:val="24"/>
              </w:rPr>
            </w:pPr>
            <w:r>
              <w:rPr>
                <w:sz w:val="24"/>
              </w:rPr>
              <w:t>what to do and where to get support to report material or manage issues</w:t>
            </w:r>
            <w:r>
              <w:rPr>
                <w:spacing w:val="-1"/>
                <w:sz w:val="24"/>
              </w:rPr>
              <w:t> </w:t>
            </w:r>
            <w:r>
              <w:rPr>
                <w:sz w:val="24"/>
              </w:rPr>
              <w:t>online.</w:t>
            </w:r>
          </w:p>
          <w:p>
            <w:pPr>
              <w:pStyle w:val="TableParagraph"/>
              <w:numPr>
                <w:ilvl w:val="0"/>
                <w:numId w:val="27"/>
              </w:numPr>
              <w:tabs>
                <w:tab w:pos="467" w:val="left" w:leader="none"/>
              </w:tabs>
              <w:spacing w:line="240" w:lineRule="auto" w:before="104" w:after="0"/>
              <w:ind w:left="466" w:right="0" w:hanging="361"/>
              <w:jc w:val="both"/>
              <w:rPr>
                <w:sz w:val="24"/>
              </w:rPr>
            </w:pPr>
            <w:r>
              <w:rPr>
                <w:sz w:val="24"/>
              </w:rPr>
              <w:t>the impact of viewing harmful</w:t>
            </w:r>
            <w:r>
              <w:rPr>
                <w:spacing w:val="-1"/>
                <w:sz w:val="24"/>
              </w:rPr>
              <w:t> </w:t>
            </w:r>
            <w:r>
              <w:rPr>
                <w:sz w:val="24"/>
              </w:rPr>
              <w:t>content.</w:t>
            </w:r>
          </w:p>
          <w:p>
            <w:pPr>
              <w:pStyle w:val="TableParagraph"/>
              <w:numPr>
                <w:ilvl w:val="0"/>
                <w:numId w:val="27"/>
              </w:numPr>
              <w:tabs>
                <w:tab w:pos="466" w:val="left" w:leader="none"/>
                <w:tab w:pos="467" w:val="left" w:leader="none"/>
              </w:tabs>
              <w:spacing w:line="242" w:lineRule="auto" w:before="106" w:after="0"/>
              <w:ind w:left="466" w:right="159" w:hanging="360"/>
              <w:jc w:val="left"/>
              <w:rPr>
                <w:sz w:val="24"/>
              </w:rPr>
            </w:pPr>
            <w:r>
              <w:rPr>
                <w:sz w:val="24"/>
              </w:rPr>
              <w:t>that specifically sexually explicit material e.g. pornography presents a distorted picture of sexual behaviours, can damage</w:t>
            </w:r>
            <w:r>
              <w:rPr>
                <w:spacing w:val="-29"/>
                <w:sz w:val="24"/>
              </w:rPr>
              <w:t> </w:t>
            </w:r>
            <w:r>
              <w:rPr>
                <w:sz w:val="24"/>
              </w:rPr>
              <w:t>the way people see themselves in relation to others and negatively affect how they behave towards sexual</w:t>
            </w:r>
            <w:r>
              <w:rPr>
                <w:spacing w:val="-3"/>
                <w:sz w:val="24"/>
              </w:rPr>
              <w:t> </w:t>
            </w:r>
            <w:r>
              <w:rPr>
                <w:sz w:val="24"/>
              </w:rPr>
              <w:t>partners.</w:t>
            </w:r>
          </w:p>
          <w:p>
            <w:pPr>
              <w:pStyle w:val="TableParagraph"/>
              <w:numPr>
                <w:ilvl w:val="0"/>
                <w:numId w:val="27"/>
              </w:numPr>
              <w:tabs>
                <w:tab w:pos="466" w:val="left" w:leader="none"/>
                <w:tab w:pos="467" w:val="left" w:leader="none"/>
              </w:tabs>
              <w:spacing w:line="242" w:lineRule="auto" w:before="108" w:after="0"/>
              <w:ind w:left="466" w:right="504" w:hanging="360"/>
              <w:jc w:val="left"/>
              <w:rPr>
                <w:sz w:val="24"/>
              </w:rPr>
            </w:pPr>
            <w:r>
              <w:rPr>
                <w:sz w:val="24"/>
              </w:rPr>
              <w:t>that sharing and viewing indecent images of children (including those created by children) is a criminal offence which carries severe penalties including</w:t>
            </w:r>
            <w:r>
              <w:rPr>
                <w:spacing w:val="-1"/>
                <w:sz w:val="24"/>
              </w:rPr>
              <w:t> </w:t>
            </w:r>
            <w:r>
              <w:rPr>
                <w:sz w:val="24"/>
              </w:rPr>
              <w:t>jail.</w:t>
            </w:r>
          </w:p>
          <w:p>
            <w:pPr>
              <w:pStyle w:val="TableParagraph"/>
              <w:numPr>
                <w:ilvl w:val="0"/>
                <w:numId w:val="27"/>
              </w:numPr>
              <w:tabs>
                <w:tab w:pos="466" w:val="left" w:leader="none"/>
                <w:tab w:pos="467" w:val="left" w:leader="none"/>
              </w:tabs>
              <w:spacing w:line="240" w:lineRule="auto" w:before="105" w:after="0"/>
              <w:ind w:left="466" w:right="680" w:hanging="360"/>
              <w:jc w:val="left"/>
              <w:rPr>
                <w:sz w:val="24"/>
              </w:rPr>
            </w:pPr>
            <w:r>
              <w:rPr>
                <w:sz w:val="24"/>
              </w:rPr>
              <w:t>how information and data is generated, collected, shared</w:t>
            </w:r>
            <w:r>
              <w:rPr>
                <w:spacing w:val="-30"/>
                <w:sz w:val="24"/>
              </w:rPr>
              <w:t> </w:t>
            </w:r>
            <w:r>
              <w:rPr>
                <w:sz w:val="24"/>
              </w:rPr>
              <w:t>and used</w:t>
            </w:r>
            <w:r>
              <w:rPr>
                <w:spacing w:val="-1"/>
                <w:sz w:val="24"/>
              </w:rPr>
              <w:t> </w:t>
            </w:r>
            <w:r>
              <w:rPr>
                <w:sz w:val="24"/>
              </w:rPr>
              <w:t>online.</w:t>
            </w:r>
          </w:p>
        </w:tc>
      </w:tr>
      <w:tr>
        <w:trPr>
          <w:trHeight w:val="572" w:hRule="atLeast"/>
        </w:trPr>
        <w:tc>
          <w:tcPr>
            <w:tcW w:w="1702" w:type="dxa"/>
          </w:tcPr>
          <w:p>
            <w:pPr>
              <w:pStyle w:val="TableParagraph"/>
              <w:ind w:left="107"/>
              <w:rPr>
                <w:b/>
                <w:sz w:val="24"/>
              </w:rPr>
            </w:pPr>
            <w:r>
              <w:rPr>
                <w:b/>
                <w:sz w:val="24"/>
              </w:rPr>
              <w:t>Being safe</w:t>
            </w:r>
          </w:p>
        </w:tc>
        <w:tc>
          <w:tcPr>
            <w:tcW w:w="7654" w:type="dxa"/>
          </w:tcPr>
          <w:p>
            <w:pPr>
              <w:pStyle w:val="TableParagraph"/>
              <w:ind w:left="106"/>
              <w:rPr>
                <w:sz w:val="24"/>
              </w:rPr>
            </w:pPr>
            <w:r>
              <w:rPr>
                <w:sz w:val="24"/>
              </w:rPr>
              <w:t>Pupils should know</w:t>
            </w:r>
          </w:p>
        </w:tc>
      </w:tr>
    </w:tbl>
    <w:p>
      <w:pPr>
        <w:spacing w:after="0"/>
        <w:rPr>
          <w:sz w:val="24"/>
        </w:rPr>
        <w:sectPr>
          <w:pgSz w:w="11910" w:h="16840"/>
          <w:pgMar w:header="708" w:footer="783" w:top="980" w:bottom="980" w:left="1020" w:right="760"/>
        </w:sectPr>
      </w:pPr>
    </w:p>
    <w:p>
      <w:pPr>
        <w:pStyle w:val="BodyText"/>
        <w:spacing w:before="2"/>
        <w:rPr>
          <w:b/>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7654"/>
      </w:tblGrid>
      <w:tr>
        <w:trPr>
          <w:trHeight w:val="2200" w:hRule="atLeast"/>
        </w:trPr>
        <w:tc>
          <w:tcPr>
            <w:tcW w:w="1702" w:type="dxa"/>
          </w:tcPr>
          <w:p>
            <w:pPr>
              <w:pStyle w:val="TableParagraph"/>
              <w:ind w:left="0"/>
              <w:rPr>
                <w:rFonts w:ascii="Times New Roman"/>
                <w:sz w:val="24"/>
              </w:rPr>
            </w:pPr>
          </w:p>
        </w:tc>
        <w:tc>
          <w:tcPr>
            <w:tcW w:w="7654" w:type="dxa"/>
          </w:tcPr>
          <w:p>
            <w:pPr>
              <w:pStyle w:val="TableParagraph"/>
              <w:numPr>
                <w:ilvl w:val="0"/>
                <w:numId w:val="28"/>
              </w:numPr>
              <w:tabs>
                <w:tab w:pos="466" w:val="left" w:leader="none"/>
                <w:tab w:pos="467" w:val="left" w:leader="none"/>
              </w:tabs>
              <w:spacing w:line="277" w:lineRule="exact" w:before="0" w:after="0"/>
              <w:ind w:left="466" w:right="0" w:hanging="361"/>
              <w:jc w:val="left"/>
              <w:rPr>
                <w:sz w:val="24"/>
              </w:rPr>
            </w:pPr>
            <w:r>
              <w:rPr>
                <w:sz w:val="24"/>
              </w:rPr>
              <w:t>the concepts of, and laws relating to, sexual consent,</w:t>
            </w:r>
            <w:r>
              <w:rPr>
                <w:spacing w:val="-11"/>
                <w:sz w:val="24"/>
              </w:rPr>
              <w:t> </w:t>
            </w:r>
            <w:r>
              <w:rPr>
                <w:sz w:val="24"/>
              </w:rPr>
              <w:t>sexual</w:t>
            </w:r>
          </w:p>
          <w:p>
            <w:pPr>
              <w:pStyle w:val="TableParagraph"/>
              <w:spacing w:line="242" w:lineRule="auto" w:before="3"/>
              <w:ind w:left="466" w:right="381"/>
              <w:rPr>
                <w:sz w:val="24"/>
              </w:rPr>
            </w:pPr>
            <w:r>
              <w:rPr>
                <w:sz w:val="24"/>
              </w:rPr>
              <w:t>exploitation, abuse, grooming, coercion, harassment, rape, domestic abuse, forced marriage, honour-based violence and FGM, and how these can affect current and future relationships.</w:t>
            </w:r>
          </w:p>
          <w:p>
            <w:pPr>
              <w:pStyle w:val="TableParagraph"/>
              <w:numPr>
                <w:ilvl w:val="0"/>
                <w:numId w:val="28"/>
              </w:numPr>
              <w:tabs>
                <w:tab w:pos="466" w:val="left" w:leader="none"/>
                <w:tab w:pos="467" w:val="left" w:leader="none"/>
              </w:tabs>
              <w:spacing w:line="242" w:lineRule="auto" w:before="107" w:after="0"/>
              <w:ind w:left="466" w:right="104" w:hanging="360"/>
              <w:jc w:val="left"/>
              <w:rPr>
                <w:sz w:val="24"/>
              </w:rPr>
            </w:pPr>
            <w:r>
              <w:rPr>
                <w:sz w:val="24"/>
              </w:rPr>
              <w:t>how people can actively communicate and recognise consent from others, including sexual consent, and how and when consent can be withdrawn (in all contexts, including</w:t>
            </w:r>
            <w:r>
              <w:rPr>
                <w:spacing w:val="-3"/>
                <w:sz w:val="24"/>
              </w:rPr>
              <w:t> </w:t>
            </w:r>
            <w:r>
              <w:rPr>
                <w:sz w:val="24"/>
              </w:rPr>
              <w:t>online).</w:t>
            </w:r>
          </w:p>
        </w:tc>
      </w:tr>
      <w:tr>
        <w:trPr>
          <w:trHeight w:val="10640" w:hRule="atLeast"/>
        </w:trPr>
        <w:tc>
          <w:tcPr>
            <w:tcW w:w="1702" w:type="dxa"/>
          </w:tcPr>
          <w:p>
            <w:pPr>
              <w:pStyle w:val="TableParagraph"/>
              <w:spacing w:line="288" w:lineRule="auto"/>
              <w:ind w:left="107" w:right="4"/>
              <w:rPr>
                <w:b/>
                <w:sz w:val="24"/>
              </w:rPr>
            </w:pPr>
            <w:r>
              <w:rPr>
                <w:b/>
                <w:sz w:val="24"/>
              </w:rPr>
              <w:t>Intimate and sexual relationships, including sexual health</w:t>
            </w:r>
          </w:p>
        </w:tc>
        <w:tc>
          <w:tcPr>
            <w:tcW w:w="7654" w:type="dxa"/>
          </w:tcPr>
          <w:p>
            <w:pPr>
              <w:pStyle w:val="TableParagraph"/>
              <w:spacing w:line="275" w:lineRule="exact"/>
              <w:ind w:left="106"/>
              <w:rPr>
                <w:sz w:val="24"/>
              </w:rPr>
            </w:pPr>
            <w:r>
              <w:rPr>
                <w:sz w:val="24"/>
              </w:rPr>
              <w:t>Pupils should know</w:t>
            </w:r>
          </w:p>
          <w:p>
            <w:pPr>
              <w:pStyle w:val="TableParagraph"/>
              <w:numPr>
                <w:ilvl w:val="0"/>
                <w:numId w:val="29"/>
              </w:numPr>
              <w:tabs>
                <w:tab w:pos="466" w:val="left" w:leader="none"/>
                <w:tab w:pos="467" w:val="left" w:leader="none"/>
              </w:tabs>
              <w:spacing w:line="242" w:lineRule="auto" w:before="227" w:after="0"/>
              <w:ind w:left="466" w:right="345" w:hanging="360"/>
              <w:jc w:val="left"/>
              <w:rPr>
                <w:sz w:val="24"/>
              </w:rPr>
            </w:pPr>
            <w:r>
              <w:rPr>
                <w:sz w:val="24"/>
              </w:rPr>
              <w:t>how to recognise the characteristics and positive aspects of healthy one-to-one intimate relationships, which include mutual respect, consent, loyalty, trust, shared interests and outlook, sex and</w:t>
            </w:r>
            <w:r>
              <w:rPr>
                <w:spacing w:val="-1"/>
                <w:sz w:val="24"/>
              </w:rPr>
              <w:t> </w:t>
            </w:r>
            <w:r>
              <w:rPr>
                <w:sz w:val="24"/>
              </w:rPr>
              <w:t>friendship.</w:t>
            </w:r>
          </w:p>
          <w:p>
            <w:pPr>
              <w:pStyle w:val="TableParagraph"/>
              <w:numPr>
                <w:ilvl w:val="0"/>
                <w:numId w:val="29"/>
              </w:numPr>
              <w:tabs>
                <w:tab w:pos="466" w:val="left" w:leader="none"/>
                <w:tab w:pos="467" w:val="left" w:leader="none"/>
              </w:tabs>
              <w:spacing w:line="242" w:lineRule="auto" w:before="108" w:after="0"/>
              <w:ind w:left="466" w:right="250" w:hanging="360"/>
              <w:jc w:val="left"/>
              <w:rPr>
                <w:sz w:val="24"/>
              </w:rPr>
            </w:pPr>
            <w:r>
              <w:rPr>
                <w:sz w:val="24"/>
              </w:rPr>
              <w:t>that all aspects of health can be affected by choices they make in sex and relationships, positively or negatively, e.g. physical, emotional, mental, sexual and reproductive health and</w:t>
            </w:r>
            <w:r>
              <w:rPr>
                <w:spacing w:val="-30"/>
                <w:sz w:val="24"/>
              </w:rPr>
              <w:t> </w:t>
            </w:r>
            <w:r>
              <w:rPr>
                <w:sz w:val="24"/>
              </w:rPr>
              <w:t>wellbeing.</w:t>
            </w:r>
          </w:p>
          <w:p>
            <w:pPr>
              <w:pStyle w:val="TableParagraph"/>
              <w:numPr>
                <w:ilvl w:val="0"/>
                <w:numId w:val="29"/>
              </w:numPr>
              <w:tabs>
                <w:tab w:pos="466" w:val="left" w:leader="none"/>
                <w:tab w:pos="467" w:val="left" w:leader="none"/>
              </w:tabs>
              <w:spacing w:line="240" w:lineRule="auto" w:before="105" w:after="0"/>
              <w:ind w:left="466" w:right="783" w:hanging="360"/>
              <w:jc w:val="left"/>
              <w:rPr>
                <w:sz w:val="24"/>
              </w:rPr>
            </w:pPr>
            <w:r>
              <w:rPr>
                <w:sz w:val="24"/>
              </w:rPr>
              <w:t>the facts about reproductive health, including fertility and the potential impact of lifestyle on fertility for men and</w:t>
            </w:r>
            <w:r>
              <w:rPr>
                <w:spacing w:val="-19"/>
                <w:sz w:val="24"/>
              </w:rPr>
              <w:t> </w:t>
            </w:r>
            <w:r>
              <w:rPr>
                <w:sz w:val="24"/>
              </w:rPr>
              <w:t>women.</w:t>
            </w:r>
          </w:p>
          <w:p>
            <w:pPr>
              <w:pStyle w:val="TableParagraph"/>
              <w:numPr>
                <w:ilvl w:val="0"/>
                <w:numId w:val="29"/>
              </w:numPr>
              <w:tabs>
                <w:tab w:pos="466" w:val="left" w:leader="none"/>
                <w:tab w:pos="467" w:val="left" w:leader="none"/>
              </w:tabs>
              <w:spacing w:line="242" w:lineRule="auto" w:before="110" w:after="0"/>
              <w:ind w:left="466" w:right="238" w:hanging="360"/>
              <w:jc w:val="left"/>
              <w:rPr>
                <w:sz w:val="24"/>
              </w:rPr>
            </w:pPr>
            <w:r>
              <w:rPr>
                <w:sz w:val="24"/>
              </w:rPr>
              <w:t>that there are a range of strategies for identifying and managing sexual pressure, including understanding peer pressure, resisting pressure and not pressurising</w:t>
            </w:r>
            <w:r>
              <w:rPr>
                <w:spacing w:val="-1"/>
                <w:sz w:val="24"/>
              </w:rPr>
              <w:t> </w:t>
            </w:r>
            <w:r>
              <w:rPr>
                <w:sz w:val="24"/>
              </w:rPr>
              <w:t>others.</w:t>
            </w:r>
          </w:p>
          <w:p>
            <w:pPr>
              <w:pStyle w:val="TableParagraph"/>
              <w:numPr>
                <w:ilvl w:val="0"/>
                <w:numId w:val="29"/>
              </w:numPr>
              <w:tabs>
                <w:tab w:pos="466" w:val="left" w:leader="none"/>
                <w:tab w:pos="467" w:val="left" w:leader="none"/>
              </w:tabs>
              <w:spacing w:line="242" w:lineRule="auto" w:before="105" w:after="0"/>
              <w:ind w:left="466" w:right="400" w:hanging="360"/>
              <w:jc w:val="left"/>
              <w:rPr>
                <w:sz w:val="24"/>
              </w:rPr>
            </w:pPr>
            <w:r>
              <w:rPr>
                <w:sz w:val="24"/>
              </w:rPr>
              <w:t>that they have a choice to delay sex or to enjoy intimacy</w:t>
            </w:r>
            <w:r>
              <w:rPr>
                <w:spacing w:val="-28"/>
                <w:sz w:val="24"/>
              </w:rPr>
              <w:t> </w:t>
            </w:r>
            <w:r>
              <w:rPr>
                <w:sz w:val="24"/>
              </w:rPr>
              <w:t>without sex.</w:t>
            </w:r>
          </w:p>
          <w:p>
            <w:pPr>
              <w:pStyle w:val="TableParagraph"/>
              <w:numPr>
                <w:ilvl w:val="0"/>
                <w:numId w:val="29"/>
              </w:numPr>
              <w:tabs>
                <w:tab w:pos="466" w:val="left" w:leader="none"/>
                <w:tab w:pos="467" w:val="left" w:leader="none"/>
              </w:tabs>
              <w:spacing w:line="240" w:lineRule="auto" w:before="105" w:after="0"/>
              <w:ind w:left="466" w:right="558" w:hanging="360"/>
              <w:jc w:val="left"/>
              <w:rPr>
                <w:sz w:val="24"/>
              </w:rPr>
            </w:pPr>
            <w:r>
              <w:rPr>
                <w:sz w:val="24"/>
              </w:rPr>
              <w:t>the facts about the full range of contraceptive choices, efficacy and options</w:t>
            </w:r>
            <w:r>
              <w:rPr>
                <w:spacing w:val="-1"/>
                <w:sz w:val="24"/>
              </w:rPr>
              <w:t> </w:t>
            </w:r>
            <w:r>
              <w:rPr>
                <w:sz w:val="24"/>
              </w:rPr>
              <w:t>available.</w:t>
            </w:r>
          </w:p>
          <w:p>
            <w:pPr>
              <w:pStyle w:val="TableParagraph"/>
              <w:numPr>
                <w:ilvl w:val="0"/>
                <w:numId w:val="29"/>
              </w:numPr>
              <w:tabs>
                <w:tab w:pos="466" w:val="left" w:leader="none"/>
                <w:tab w:pos="467" w:val="left" w:leader="none"/>
              </w:tabs>
              <w:spacing w:line="240" w:lineRule="auto" w:before="110" w:after="0"/>
              <w:ind w:left="466" w:right="0" w:hanging="361"/>
              <w:jc w:val="left"/>
              <w:rPr>
                <w:sz w:val="24"/>
              </w:rPr>
            </w:pPr>
            <w:r>
              <w:rPr>
                <w:sz w:val="24"/>
              </w:rPr>
              <w:t>the facts around pregnancy including</w:t>
            </w:r>
            <w:r>
              <w:rPr>
                <w:spacing w:val="-5"/>
                <w:sz w:val="24"/>
              </w:rPr>
              <w:t> </w:t>
            </w:r>
            <w:r>
              <w:rPr>
                <w:sz w:val="24"/>
              </w:rPr>
              <w:t>miscarriage.</w:t>
            </w:r>
          </w:p>
          <w:p>
            <w:pPr>
              <w:pStyle w:val="TableParagraph"/>
              <w:numPr>
                <w:ilvl w:val="0"/>
                <w:numId w:val="29"/>
              </w:numPr>
              <w:tabs>
                <w:tab w:pos="466" w:val="left" w:leader="none"/>
                <w:tab w:pos="467" w:val="left" w:leader="none"/>
              </w:tabs>
              <w:spacing w:line="242" w:lineRule="auto" w:before="106" w:after="0"/>
              <w:ind w:left="466" w:right="200" w:hanging="360"/>
              <w:jc w:val="left"/>
              <w:rPr>
                <w:sz w:val="24"/>
              </w:rPr>
            </w:pPr>
            <w:r>
              <w:rPr>
                <w:sz w:val="24"/>
              </w:rPr>
              <w:t>that there are choices in relation to pregnancy (with medically</w:t>
            </w:r>
            <w:r>
              <w:rPr>
                <w:spacing w:val="-31"/>
                <w:sz w:val="24"/>
              </w:rPr>
              <w:t> </w:t>
            </w:r>
            <w:r>
              <w:rPr>
                <w:sz w:val="24"/>
              </w:rPr>
              <w:t>and legally accurate, impartial information on all options, including keeping the baby, adoption, abortion and where to get further help).</w:t>
            </w:r>
          </w:p>
          <w:p>
            <w:pPr>
              <w:pStyle w:val="TableParagraph"/>
              <w:numPr>
                <w:ilvl w:val="0"/>
                <w:numId w:val="29"/>
              </w:numPr>
              <w:tabs>
                <w:tab w:pos="466" w:val="left" w:leader="none"/>
                <w:tab w:pos="467" w:val="left" w:leader="none"/>
              </w:tabs>
              <w:spacing w:line="242" w:lineRule="auto" w:before="106" w:after="0"/>
              <w:ind w:left="466" w:right="241" w:hanging="360"/>
              <w:jc w:val="left"/>
              <w:rPr>
                <w:sz w:val="24"/>
              </w:rPr>
            </w:pPr>
            <w:r>
              <w:rPr>
                <w:sz w:val="24"/>
              </w:rPr>
              <w:t>how the different sexually transmitted infections (STIs), including HIV/AIDs, are transmitted, how risk can be reduced through</w:t>
            </w:r>
            <w:r>
              <w:rPr>
                <w:spacing w:val="-29"/>
                <w:sz w:val="24"/>
              </w:rPr>
              <w:t> </w:t>
            </w:r>
            <w:r>
              <w:rPr>
                <w:sz w:val="24"/>
              </w:rPr>
              <w:t>safer sex (including through condom use) and the importance of and facts about</w:t>
            </w:r>
            <w:r>
              <w:rPr>
                <w:spacing w:val="-2"/>
                <w:sz w:val="24"/>
              </w:rPr>
              <w:t> </w:t>
            </w:r>
            <w:r>
              <w:rPr>
                <w:sz w:val="24"/>
              </w:rPr>
              <w:t>testing.</w:t>
            </w:r>
          </w:p>
          <w:p>
            <w:pPr>
              <w:pStyle w:val="TableParagraph"/>
              <w:numPr>
                <w:ilvl w:val="0"/>
                <w:numId w:val="29"/>
              </w:numPr>
              <w:tabs>
                <w:tab w:pos="466" w:val="left" w:leader="none"/>
                <w:tab w:pos="467" w:val="left" w:leader="none"/>
              </w:tabs>
              <w:spacing w:line="240" w:lineRule="auto" w:before="108" w:after="0"/>
              <w:ind w:left="466" w:right="317" w:hanging="360"/>
              <w:jc w:val="left"/>
              <w:rPr>
                <w:sz w:val="24"/>
              </w:rPr>
            </w:pPr>
            <w:r>
              <w:rPr>
                <w:sz w:val="24"/>
              </w:rPr>
              <w:t>about the prevalence of some STIs, the impact they can have on those who contract them and key facts about</w:t>
            </w:r>
            <w:r>
              <w:rPr>
                <w:spacing w:val="-7"/>
                <w:sz w:val="24"/>
              </w:rPr>
              <w:t> </w:t>
            </w:r>
            <w:r>
              <w:rPr>
                <w:sz w:val="24"/>
              </w:rPr>
              <w:t>treatment.</w:t>
            </w:r>
          </w:p>
          <w:p>
            <w:pPr>
              <w:pStyle w:val="TableParagraph"/>
              <w:numPr>
                <w:ilvl w:val="0"/>
                <w:numId w:val="29"/>
              </w:numPr>
              <w:tabs>
                <w:tab w:pos="466" w:val="left" w:leader="none"/>
                <w:tab w:pos="467" w:val="left" w:leader="none"/>
              </w:tabs>
              <w:spacing w:line="242" w:lineRule="auto" w:before="109" w:after="0"/>
              <w:ind w:left="466" w:right="1092" w:hanging="360"/>
              <w:jc w:val="left"/>
              <w:rPr>
                <w:sz w:val="24"/>
              </w:rPr>
            </w:pPr>
            <w:r>
              <w:rPr>
                <w:sz w:val="24"/>
              </w:rPr>
              <w:t>how the use of alcohol and drugs can lead to risky sexual behaviour.</w:t>
            </w:r>
          </w:p>
          <w:p>
            <w:pPr>
              <w:pStyle w:val="TableParagraph"/>
              <w:numPr>
                <w:ilvl w:val="0"/>
                <w:numId w:val="29"/>
              </w:numPr>
              <w:tabs>
                <w:tab w:pos="466" w:val="left" w:leader="none"/>
                <w:tab w:pos="467" w:val="left" w:leader="none"/>
              </w:tabs>
              <w:spacing w:line="240" w:lineRule="auto" w:before="105" w:after="0"/>
              <w:ind w:left="466" w:right="251" w:hanging="360"/>
              <w:jc w:val="left"/>
              <w:rPr>
                <w:sz w:val="24"/>
              </w:rPr>
            </w:pPr>
            <w:r>
              <w:rPr>
                <w:sz w:val="24"/>
              </w:rPr>
              <w:t>how to get further advice, including how and where to access confidential sexual and reproductive health advice and</w:t>
            </w:r>
            <w:r>
              <w:rPr>
                <w:spacing w:val="-29"/>
                <w:sz w:val="24"/>
              </w:rPr>
              <w:t> </w:t>
            </w:r>
            <w:r>
              <w:rPr>
                <w:sz w:val="24"/>
              </w:rPr>
              <w:t>treatment.</w:t>
            </w:r>
          </w:p>
        </w:tc>
      </w:tr>
    </w:tbl>
    <w:p>
      <w:pPr>
        <w:spacing w:after="0" w:line="240" w:lineRule="auto"/>
        <w:jc w:val="left"/>
        <w:rPr>
          <w:sz w:val="24"/>
        </w:rPr>
        <w:sectPr>
          <w:pgSz w:w="11910" w:h="16840"/>
          <w:pgMar w:header="708" w:footer="783" w:top="980" w:bottom="980" w:left="1020" w:right="760"/>
        </w:sectPr>
      </w:pPr>
    </w:p>
    <w:p>
      <w:pPr>
        <w:pStyle w:val="Heading2"/>
        <w:spacing w:before="140"/>
      </w:pPr>
      <w:bookmarkStart w:name="The Law" w:id="60"/>
      <w:bookmarkEnd w:id="60"/>
      <w:r>
        <w:rPr>
          <w:b w:val="0"/>
        </w:rPr>
      </w:r>
      <w:bookmarkStart w:name="_bookmark33" w:id="61"/>
      <w:bookmarkEnd w:id="61"/>
      <w:r>
        <w:rPr>
          <w:b w:val="0"/>
        </w:rPr>
      </w:r>
      <w:r>
        <w:rPr>
          <w:color w:val="02466C"/>
        </w:rPr>
        <w:t>The Law</w:t>
      </w:r>
    </w:p>
    <w:p>
      <w:pPr>
        <w:pStyle w:val="ListParagraph"/>
        <w:numPr>
          <w:ilvl w:val="0"/>
          <w:numId w:val="23"/>
        </w:numPr>
        <w:tabs>
          <w:tab w:pos="833" w:val="left" w:leader="none"/>
          <w:tab w:pos="834" w:val="left" w:leader="none"/>
        </w:tabs>
        <w:spacing w:line="288" w:lineRule="auto" w:before="239" w:after="0"/>
        <w:ind w:left="113" w:right="563" w:firstLine="0"/>
        <w:jc w:val="left"/>
        <w:rPr>
          <w:sz w:val="24"/>
        </w:rPr>
      </w:pPr>
      <w:r>
        <w:rPr>
          <w:sz w:val="24"/>
        </w:rPr>
        <w:t>It is important to know what the law says about sex, relationships and young people, as well as broader safeguarding issues. This includes a range of important facts and the rules regarding sharing personal information, pictures, videos and other material using technology. This will help young people to know what is right and wrong in law, but it can also provide a good foundation of knowledge for deeper discussion about all types of relationships. There are also many different legal provisions whose purpose is to protect young people and which ensure young people take responsibility for their actions. Pupils should be made aware of the relevant legal provisions when relevant topics are being taught, including for example:</w:t>
      </w:r>
    </w:p>
    <w:p>
      <w:pPr>
        <w:pStyle w:val="ListParagraph"/>
        <w:numPr>
          <w:ilvl w:val="1"/>
          <w:numId w:val="23"/>
        </w:numPr>
        <w:tabs>
          <w:tab w:pos="1193" w:val="left" w:leader="none"/>
          <w:tab w:pos="1194" w:val="left" w:leader="none"/>
        </w:tabs>
        <w:spacing w:line="240" w:lineRule="auto" w:before="238" w:after="0"/>
        <w:ind w:left="1194" w:right="0" w:hanging="361"/>
        <w:jc w:val="left"/>
        <w:rPr>
          <w:rFonts w:ascii="Symbol" w:hAnsi="Symbol"/>
          <w:color w:val="111111"/>
          <w:sz w:val="24"/>
        </w:rPr>
      </w:pPr>
      <w:r>
        <w:rPr>
          <w:sz w:val="24"/>
        </w:rPr>
        <w:t>marriage</w:t>
      </w:r>
    </w:p>
    <w:p>
      <w:pPr>
        <w:pStyle w:val="ListParagraph"/>
        <w:numPr>
          <w:ilvl w:val="1"/>
          <w:numId w:val="23"/>
        </w:numPr>
        <w:tabs>
          <w:tab w:pos="1193" w:val="left" w:leader="none"/>
          <w:tab w:pos="1194" w:val="left" w:leader="none"/>
        </w:tabs>
        <w:spacing w:line="240" w:lineRule="auto" w:before="174" w:after="0"/>
        <w:ind w:left="1194" w:right="0" w:hanging="361"/>
        <w:jc w:val="left"/>
        <w:rPr>
          <w:rFonts w:ascii="Symbol" w:hAnsi="Symbol"/>
          <w:color w:val="111111"/>
          <w:sz w:val="24"/>
        </w:rPr>
      </w:pPr>
      <w:r>
        <w:rPr>
          <w:sz w:val="24"/>
        </w:rPr>
        <w:t>consent, including the age of consent</w:t>
      </w:r>
    </w:p>
    <w:p>
      <w:pPr>
        <w:pStyle w:val="ListParagraph"/>
        <w:numPr>
          <w:ilvl w:val="1"/>
          <w:numId w:val="23"/>
        </w:numPr>
        <w:tabs>
          <w:tab w:pos="1193" w:val="left" w:leader="none"/>
          <w:tab w:pos="1194" w:val="left" w:leader="none"/>
        </w:tabs>
        <w:spacing w:line="240" w:lineRule="auto" w:before="173" w:after="0"/>
        <w:ind w:left="1194" w:right="0" w:hanging="361"/>
        <w:jc w:val="left"/>
        <w:rPr>
          <w:rFonts w:ascii="Symbol" w:hAnsi="Symbol"/>
          <w:color w:val="111111"/>
          <w:sz w:val="24"/>
        </w:rPr>
      </w:pPr>
      <w:r>
        <w:rPr>
          <w:sz w:val="24"/>
        </w:rPr>
        <w:t>violence against women and girls</w:t>
      </w:r>
    </w:p>
    <w:p>
      <w:pPr>
        <w:pStyle w:val="ListParagraph"/>
        <w:numPr>
          <w:ilvl w:val="1"/>
          <w:numId w:val="23"/>
        </w:numPr>
        <w:tabs>
          <w:tab w:pos="1193" w:val="left" w:leader="none"/>
          <w:tab w:pos="1194" w:val="left" w:leader="none"/>
        </w:tabs>
        <w:spacing w:line="283" w:lineRule="auto" w:before="174" w:after="0"/>
        <w:ind w:left="1193" w:right="645" w:hanging="360"/>
        <w:jc w:val="left"/>
        <w:rPr>
          <w:rFonts w:ascii="Symbol" w:hAnsi="Symbol"/>
          <w:color w:val="111111"/>
          <w:sz w:val="24"/>
        </w:rPr>
      </w:pPr>
      <w:r>
        <w:rPr>
          <w:sz w:val="24"/>
        </w:rPr>
        <w:t>online behaviours including image and information sharing (including ‘sexting’, youth-produced sexual imagery, nudes,</w:t>
      </w:r>
      <w:r>
        <w:rPr>
          <w:spacing w:val="-2"/>
          <w:sz w:val="24"/>
        </w:rPr>
        <w:t> </w:t>
      </w:r>
      <w:r>
        <w:rPr>
          <w:sz w:val="24"/>
        </w:rPr>
        <w:t>etc.)</w:t>
      </w:r>
    </w:p>
    <w:p>
      <w:pPr>
        <w:pStyle w:val="ListParagraph"/>
        <w:numPr>
          <w:ilvl w:val="1"/>
          <w:numId w:val="23"/>
        </w:numPr>
        <w:tabs>
          <w:tab w:pos="1193" w:val="left" w:leader="none"/>
          <w:tab w:pos="1194" w:val="left" w:leader="none"/>
        </w:tabs>
        <w:spacing w:line="240" w:lineRule="auto" w:before="125" w:after="0"/>
        <w:ind w:left="1194" w:right="0" w:hanging="361"/>
        <w:jc w:val="left"/>
        <w:rPr>
          <w:rFonts w:ascii="Symbol" w:hAnsi="Symbol"/>
          <w:color w:val="111111"/>
          <w:sz w:val="24"/>
        </w:rPr>
      </w:pPr>
      <w:r>
        <w:rPr>
          <w:sz w:val="24"/>
        </w:rPr>
        <w:t>pornography</w:t>
      </w:r>
    </w:p>
    <w:p>
      <w:pPr>
        <w:pStyle w:val="ListParagraph"/>
        <w:numPr>
          <w:ilvl w:val="1"/>
          <w:numId w:val="23"/>
        </w:numPr>
        <w:tabs>
          <w:tab w:pos="1193" w:val="left" w:leader="none"/>
          <w:tab w:pos="1194" w:val="left" w:leader="none"/>
        </w:tabs>
        <w:spacing w:line="240" w:lineRule="auto" w:before="174" w:after="0"/>
        <w:ind w:left="1194" w:right="0" w:hanging="361"/>
        <w:jc w:val="left"/>
        <w:rPr>
          <w:rFonts w:ascii="Symbol" w:hAnsi="Symbol"/>
          <w:color w:val="111111"/>
          <w:sz w:val="24"/>
        </w:rPr>
      </w:pPr>
      <w:r>
        <w:rPr>
          <w:sz w:val="24"/>
        </w:rPr>
        <w:t>abortion</w:t>
      </w:r>
    </w:p>
    <w:p>
      <w:pPr>
        <w:pStyle w:val="ListParagraph"/>
        <w:numPr>
          <w:ilvl w:val="1"/>
          <w:numId w:val="23"/>
        </w:numPr>
        <w:tabs>
          <w:tab w:pos="1193" w:val="left" w:leader="none"/>
          <w:tab w:pos="1194" w:val="left" w:leader="none"/>
        </w:tabs>
        <w:spacing w:line="240" w:lineRule="auto" w:before="173" w:after="0"/>
        <w:ind w:left="1194" w:right="0" w:hanging="361"/>
        <w:jc w:val="left"/>
        <w:rPr>
          <w:rFonts w:ascii="Symbol" w:hAnsi="Symbol"/>
          <w:color w:val="111111"/>
          <w:sz w:val="24"/>
        </w:rPr>
      </w:pPr>
      <w:r>
        <w:rPr>
          <w:sz w:val="24"/>
        </w:rPr>
        <w:t>sexuality</w:t>
      </w:r>
    </w:p>
    <w:p>
      <w:pPr>
        <w:pStyle w:val="ListParagraph"/>
        <w:numPr>
          <w:ilvl w:val="1"/>
          <w:numId w:val="23"/>
        </w:numPr>
        <w:tabs>
          <w:tab w:pos="1193" w:val="left" w:leader="none"/>
          <w:tab w:pos="1194" w:val="left" w:leader="none"/>
        </w:tabs>
        <w:spacing w:line="240" w:lineRule="auto" w:before="174" w:after="0"/>
        <w:ind w:left="1194" w:right="0" w:hanging="360"/>
        <w:jc w:val="left"/>
        <w:rPr>
          <w:rFonts w:ascii="Symbol" w:hAnsi="Symbol"/>
          <w:color w:val="111111"/>
          <w:sz w:val="24"/>
        </w:rPr>
      </w:pPr>
      <w:r>
        <w:rPr>
          <w:sz w:val="24"/>
        </w:rPr>
        <w:t>gender identity</w:t>
      </w:r>
    </w:p>
    <w:p>
      <w:pPr>
        <w:pStyle w:val="ListParagraph"/>
        <w:numPr>
          <w:ilvl w:val="1"/>
          <w:numId w:val="23"/>
        </w:numPr>
        <w:tabs>
          <w:tab w:pos="1193" w:val="left" w:leader="none"/>
          <w:tab w:pos="1194" w:val="left" w:leader="none"/>
        </w:tabs>
        <w:spacing w:line="240" w:lineRule="auto" w:before="173" w:after="0"/>
        <w:ind w:left="1194" w:right="0" w:hanging="360"/>
        <w:jc w:val="left"/>
        <w:rPr>
          <w:rFonts w:ascii="Symbol" w:hAnsi="Symbol"/>
          <w:color w:val="111111"/>
          <w:sz w:val="24"/>
        </w:rPr>
      </w:pPr>
      <w:r>
        <w:rPr>
          <w:sz w:val="24"/>
        </w:rPr>
        <w:t>substance</w:t>
      </w:r>
      <w:r>
        <w:rPr>
          <w:spacing w:val="-1"/>
          <w:sz w:val="24"/>
        </w:rPr>
        <w:t> </w:t>
      </w:r>
      <w:r>
        <w:rPr>
          <w:sz w:val="24"/>
        </w:rPr>
        <w:t>misuse</w:t>
      </w:r>
    </w:p>
    <w:p>
      <w:pPr>
        <w:pStyle w:val="ListParagraph"/>
        <w:numPr>
          <w:ilvl w:val="1"/>
          <w:numId w:val="23"/>
        </w:numPr>
        <w:tabs>
          <w:tab w:pos="1193" w:val="left" w:leader="none"/>
          <w:tab w:pos="1194" w:val="left" w:leader="none"/>
        </w:tabs>
        <w:spacing w:line="240" w:lineRule="auto" w:before="173" w:after="0"/>
        <w:ind w:left="1194" w:right="0" w:hanging="360"/>
        <w:jc w:val="left"/>
        <w:rPr>
          <w:rFonts w:ascii="Symbol" w:hAnsi="Symbol"/>
          <w:color w:val="111111"/>
          <w:sz w:val="24"/>
        </w:rPr>
      </w:pPr>
      <w:r>
        <w:rPr>
          <w:sz w:val="24"/>
        </w:rPr>
        <w:t>violence and exploitation by</w:t>
      </w:r>
      <w:r>
        <w:rPr>
          <w:spacing w:val="-1"/>
          <w:sz w:val="24"/>
        </w:rPr>
        <w:t> </w:t>
      </w:r>
      <w:r>
        <w:rPr>
          <w:sz w:val="24"/>
        </w:rPr>
        <w:t>gangs</w:t>
      </w:r>
    </w:p>
    <w:p>
      <w:pPr>
        <w:pStyle w:val="ListParagraph"/>
        <w:numPr>
          <w:ilvl w:val="1"/>
          <w:numId w:val="23"/>
        </w:numPr>
        <w:tabs>
          <w:tab w:pos="1193" w:val="left" w:leader="none"/>
          <w:tab w:pos="1194" w:val="left" w:leader="none"/>
        </w:tabs>
        <w:spacing w:line="240" w:lineRule="auto" w:before="173" w:after="0"/>
        <w:ind w:left="1194" w:right="0" w:hanging="360"/>
        <w:jc w:val="left"/>
        <w:rPr>
          <w:rFonts w:ascii="Symbol" w:hAnsi="Symbol"/>
          <w:color w:val="111111"/>
          <w:sz w:val="24"/>
        </w:rPr>
      </w:pPr>
      <w:r>
        <w:rPr>
          <w:sz w:val="24"/>
        </w:rPr>
        <w:t>extremism/radicalisation</w:t>
      </w:r>
    </w:p>
    <w:p>
      <w:pPr>
        <w:pStyle w:val="ListParagraph"/>
        <w:numPr>
          <w:ilvl w:val="1"/>
          <w:numId w:val="23"/>
        </w:numPr>
        <w:tabs>
          <w:tab w:pos="1193" w:val="left" w:leader="none"/>
          <w:tab w:pos="1194" w:val="left" w:leader="none"/>
        </w:tabs>
        <w:spacing w:line="285" w:lineRule="auto" w:before="173" w:after="0"/>
        <w:ind w:left="1194" w:right="808" w:hanging="360"/>
        <w:jc w:val="left"/>
        <w:rPr>
          <w:rFonts w:ascii="Symbol" w:hAnsi="Symbol"/>
          <w:color w:val="111111"/>
          <w:sz w:val="24"/>
        </w:rPr>
      </w:pPr>
      <w:r>
        <w:rPr>
          <w:sz w:val="24"/>
        </w:rPr>
        <w:t>criminal exploitation (for example, through gang involvement or ‘county lines’ drugs</w:t>
      </w:r>
      <w:r>
        <w:rPr>
          <w:spacing w:val="-1"/>
          <w:sz w:val="24"/>
        </w:rPr>
        <w:t> </w:t>
      </w:r>
      <w:r>
        <w:rPr>
          <w:sz w:val="24"/>
        </w:rPr>
        <w:t>operations)</w:t>
      </w:r>
    </w:p>
    <w:p>
      <w:pPr>
        <w:pStyle w:val="ListParagraph"/>
        <w:numPr>
          <w:ilvl w:val="1"/>
          <w:numId w:val="23"/>
        </w:numPr>
        <w:tabs>
          <w:tab w:pos="1193" w:val="left" w:leader="none"/>
          <w:tab w:pos="1194" w:val="left" w:leader="none"/>
        </w:tabs>
        <w:spacing w:line="240" w:lineRule="auto" w:before="121" w:after="0"/>
        <w:ind w:left="1194" w:right="0" w:hanging="360"/>
        <w:jc w:val="left"/>
        <w:rPr>
          <w:rFonts w:ascii="Symbol" w:hAnsi="Symbol"/>
          <w:color w:val="111111"/>
          <w:sz w:val="24"/>
        </w:rPr>
      </w:pPr>
      <w:r>
        <w:rPr>
          <w:sz w:val="24"/>
        </w:rPr>
        <w:t>hate</w:t>
      </w:r>
      <w:r>
        <w:rPr>
          <w:spacing w:val="-1"/>
          <w:sz w:val="24"/>
        </w:rPr>
        <w:t> </w:t>
      </w:r>
      <w:r>
        <w:rPr>
          <w:sz w:val="24"/>
        </w:rPr>
        <w:t>crime</w:t>
      </w:r>
    </w:p>
    <w:p>
      <w:pPr>
        <w:pStyle w:val="ListParagraph"/>
        <w:numPr>
          <w:ilvl w:val="1"/>
          <w:numId w:val="23"/>
        </w:numPr>
        <w:tabs>
          <w:tab w:pos="1193" w:val="left" w:leader="none"/>
          <w:tab w:pos="1194" w:val="left" w:leader="none"/>
        </w:tabs>
        <w:spacing w:line="240" w:lineRule="auto" w:before="173" w:after="0"/>
        <w:ind w:left="1194" w:right="0" w:hanging="360"/>
        <w:jc w:val="left"/>
        <w:rPr>
          <w:rFonts w:ascii="Symbol" w:hAnsi="Symbol"/>
          <w:color w:val="111111"/>
          <w:sz w:val="24"/>
        </w:rPr>
      </w:pPr>
      <w:r>
        <w:rPr>
          <w:sz w:val="24"/>
        </w:rPr>
        <w:t>female genital mutilation</w:t>
      </w:r>
      <w:r>
        <w:rPr>
          <w:spacing w:val="-1"/>
          <w:sz w:val="24"/>
        </w:rPr>
        <w:t> </w:t>
      </w:r>
      <w:r>
        <w:rPr>
          <w:sz w:val="24"/>
        </w:rPr>
        <w:t>(FGM)</w:t>
      </w:r>
    </w:p>
    <w:p>
      <w:pPr>
        <w:spacing w:after="0" w:line="240" w:lineRule="auto"/>
        <w:jc w:val="left"/>
        <w:rPr>
          <w:rFonts w:ascii="Symbol" w:hAnsi="Symbol"/>
          <w:sz w:val="24"/>
        </w:rPr>
        <w:sectPr>
          <w:pgSz w:w="11910" w:h="16840"/>
          <w:pgMar w:header="708" w:footer="783" w:top="980" w:bottom="980" w:left="1020" w:right="760"/>
        </w:sectPr>
      </w:pPr>
    </w:p>
    <w:p>
      <w:pPr>
        <w:pStyle w:val="Heading1"/>
      </w:pPr>
      <w:bookmarkStart w:name="Physical health and mental wellbeing" w:id="62"/>
      <w:bookmarkEnd w:id="62"/>
      <w:r>
        <w:rPr>
          <w:b w:val="0"/>
        </w:rPr>
      </w:r>
      <w:bookmarkStart w:name="_bookmark34" w:id="63"/>
      <w:bookmarkEnd w:id="63"/>
      <w:r>
        <w:rPr>
          <w:b w:val="0"/>
        </w:rPr>
      </w:r>
      <w:r>
        <w:rPr>
          <w:color w:val="02466C"/>
        </w:rPr>
        <w:t>Physical health and mental wellbeing</w:t>
      </w:r>
    </w:p>
    <w:p>
      <w:pPr>
        <w:pStyle w:val="ListParagraph"/>
        <w:numPr>
          <w:ilvl w:val="0"/>
          <w:numId w:val="23"/>
        </w:numPr>
        <w:tabs>
          <w:tab w:pos="833" w:val="left" w:leader="none"/>
          <w:tab w:pos="834" w:val="left" w:leader="none"/>
        </w:tabs>
        <w:spacing w:line="288" w:lineRule="auto" w:before="238" w:after="0"/>
        <w:ind w:left="113" w:right="753" w:firstLine="0"/>
        <w:jc w:val="left"/>
        <w:rPr>
          <w:sz w:val="24"/>
        </w:rPr>
      </w:pPr>
      <w:r>
        <w:rPr>
          <w:sz w:val="24"/>
        </w:rPr>
        <w:t>The aim of teaching pupils about physical health and mental wellbeing is to give them the information that they need to make good decisions about their own health and wellbeing. It should enable them to recognise what is normal and what is an issue in themselves and others and, when issues arise, know how to seek support as early as possible from appropriate sources.</w:t>
      </w:r>
    </w:p>
    <w:p>
      <w:pPr>
        <w:pStyle w:val="ListParagraph"/>
        <w:numPr>
          <w:ilvl w:val="0"/>
          <w:numId w:val="23"/>
        </w:numPr>
        <w:tabs>
          <w:tab w:pos="833" w:val="left" w:leader="none"/>
          <w:tab w:pos="834" w:val="left" w:leader="none"/>
        </w:tabs>
        <w:spacing w:line="288" w:lineRule="auto" w:before="240" w:after="0"/>
        <w:ind w:left="113" w:right="591" w:firstLine="0"/>
        <w:jc w:val="left"/>
        <w:rPr>
          <w:sz w:val="24"/>
        </w:rPr>
      </w:pPr>
      <w:r>
        <w:rPr>
          <w:sz w:val="24"/>
        </w:rPr>
        <w:t>Physical health and mental wellbeing are interlinked, and it is important that pupils understand that good physical health contributes to good mental wellbeing, and vice versa.</w:t>
      </w:r>
    </w:p>
    <w:p>
      <w:pPr>
        <w:pStyle w:val="ListParagraph"/>
        <w:numPr>
          <w:ilvl w:val="0"/>
          <w:numId w:val="23"/>
        </w:numPr>
        <w:tabs>
          <w:tab w:pos="833" w:val="left" w:leader="none"/>
          <w:tab w:pos="834" w:val="left" w:leader="none"/>
        </w:tabs>
        <w:spacing w:line="288" w:lineRule="auto" w:before="240" w:after="0"/>
        <w:ind w:left="113" w:right="553" w:firstLine="0"/>
        <w:jc w:val="left"/>
        <w:rPr>
          <w:sz w:val="24"/>
        </w:rPr>
      </w:pPr>
      <w:r>
        <w:rPr>
          <w:sz w:val="24"/>
        </w:rPr>
        <w:t>It is important for schools to promote pupils’ self-control and ability to self-regulate, and strategies for doing so. This will enable them to become confident in their ability to achieve well and persevere even when they encounter setbacks or when their goals are distant, and to respond calmly and rationally to setbacks and challenges. This integrated, whole-school approach to the teaching and promotion of health and wellbeing has a potential positive impact on behaviour and attainment.</w:t>
      </w:r>
    </w:p>
    <w:p>
      <w:pPr>
        <w:pStyle w:val="ListParagraph"/>
        <w:numPr>
          <w:ilvl w:val="0"/>
          <w:numId w:val="23"/>
        </w:numPr>
        <w:tabs>
          <w:tab w:pos="833" w:val="left" w:leader="none"/>
          <w:tab w:pos="834" w:val="left" w:leader="none"/>
        </w:tabs>
        <w:spacing w:line="288" w:lineRule="auto" w:before="241" w:after="0"/>
        <w:ind w:left="113" w:right="844" w:firstLine="0"/>
        <w:jc w:val="left"/>
        <w:rPr>
          <w:sz w:val="24"/>
        </w:rPr>
      </w:pPr>
      <w:r>
        <w:rPr>
          <w:sz w:val="24"/>
        </w:rPr>
        <w:t>Effective teaching should aim to reduce stigma attached to health issues, in particular those to do with mental wellbeing. Schools should engender an atmosphere that encourages openness. This will mean that pupils feel they can check their understanding and seek any necessary help and advice as they gain knowledge about how to promote good health and</w:t>
      </w:r>
      <w:r>
        <w:rPr>
          <w:spacing w:val="-1"/>
          <w:sz w:val="24"/>
        </w:rPr>
        <w:t> </w:t>
      </w:r>
      <w:r>
        <w:rPr>
          <w:sz w:val="24"/>
        </w:rPr>
        <w:t>wellbeing.</w:t>
      </w:r>
    </w:p>
    <w:p>
      <w:pPr>
        <w:pStyle w:val="ListParagraph"/>
        <w:numPr>
          <w:ilvl w:val="0"/>
          <w:numId w:val="23"/>
        </w:numPr>
        <w:tabs>
          <w:tab w:pos="833" w:val="left" w:leader="none"/>
          <w:tab w:pos="834" w:val="left" w:leader="none"/>
        </w:tabs>
        <w:spacing w:line="288" w:lineRule="auto" w:before="240" w:after="0"/>
        <w:ind w:left="113" w:right="936" w:firstLine="0"/>
        <w:jc w:val="left"/>
        <w:rPr>
          <w:sz w:val="24"/>
        </w:rPr>
      </w:pPr>
      <w:r>
        <w:rPr>
          <w:sz w:val="24"/>
        </w:rPr>
        <w:t>Schools have flexibility to design and plan age-appropriate subject content, but this guidance sets out core areas for health and wellbeing that are appropriate for primary and secondary aged</w:t>
      </w:r>
      <w:r>
        <w:rPr>
          <w:spacing w:val="-1"/>
          <w:sz w:val="24"/>
        </w:rPr>
        <w:t> </w:t>
      </w:r>
      <w:r>
        <w:rPr>
          <w:sz w:val="24"/>
        </w:rPr>
        <w:t>pupils.</w:t>
      </w:r>
    </w:p>
    <w:p>
      <w:pPr>
        <w:pStyle w:val="ListParagraph"/>
        <w:numPr>
          <w:ilvl w:val="0"/>
          <w:numId w:val="23"/>
        </w:numPr>
        <w:tabs>
          <w:tab w:pos="833" w:val="left" w:leader="none"/>
          <w:tab w:pos="834" w:val="left" w:leader="none"/>
        </w:tabs>
        <w:spacing w:line="288" w:lineRule="auto" w:before="239" w:after="0"/>
        <w:ind w:left="113" w:right="1099" w:firstLine="0"/>
        <w:jc w:val="left"/>
        <w:rPr>
          <w:sz w:val="24"/>
        </w:rPr>
      </w:pPr>
      <w:r>
        <w:rPr>
          <w:sz w:val="24"/>
        </w:rPr>
        <w:t>Puberty including menstruation should be covered in Health Education and should, as far as possible, be addressed before onset. This should ensure male and female pupils are prepared for changes they and their peers will</w:t>
      </w:r>
      <w:r>
        <w:rPr>
          <w:spacing w:val="-17"/>
          <w:sz w:val="24"/>
        </w:rPr>
        <w:t> </w:t>
      </w:r>
      <w:r>
        <w:rPr>
          <w:sz w:val="24"/>
        </w:rPr>
        <w:t>experience.</w:t>
      </w:r>
    </w:p>
    <w:p>
      <w:pPr>
        <w:pStyle w:val="BodyText"/>
        <w:spacing w:before="10"/>
        <w:rPr>
          <w:sz w:val="41"/>
        </w:rPr>
      </w:pPr>
    </w:p>
    <w:p>
      <w:pPr>
        <w:pStyle w:val="Heading2"/>
        <w:spacing w:before="0"/>
      </w:pPr>
      <w:bookmarkStart w:name="Menstruation" w:id="64"/>
      <w:bookmarkEnd w:id="64"/>
      <w:r>
        <w:rPr>
          <w:b w:val="0"/>
        </w:rPr>
      </w:r>
      <w:bookmarkStart w:name="_bookmark35" w:id="65"/>
      <w:bookmarkEnd w:id="65"/>
      <w:r>
        <w:rPr>
          <w:b w:val="0"/>
        </w:rPr>
      </w:r>
      <w:r>
        <w:rPr>
          <w:color w:val="02466C"/>
        </w:rPr>
        <w:t>Menstruation</w:t>
      </w:r>
    </w:p>
    <w:p>
      <w:pPr>
        <w:pStyle w:val="ListParagraph"/>
        <w:numPr>
          <w:ilvl w:val="0"/>
          <w:numId w:val="23"/>
        </w:numPr>
        <w:tabs>
          <w:tab w:pos="833" w:val="left" w:leader="none"/>
          <w:tab w:pos="834" w:val="left" w:leader="none"/>
        </w:tabs>
        <w:spacing w:line="288" w:lineRule="auto" w:before="239" w:after="0"/>
        <w:ind w:left="113" w:right="605" w:firstLine="0"/>
        <w:jc w:val="left"/>
        <w:rPr>
          <w:sz w:val="24"/>
        </w:rPr>
      </w:pPr>
      <w:r>
        <w:rPr>
          <w:sz w:val="24"/>
        </w:rPr>
        <w:t>The onset of menstruation can be confusing or even alarming for girls if they are not prepared. Pupils should be taught key facts about the menstrual cycle including what is an average period, range of menstrual products and the implications for emotional and physical health. In addition to curriculum content, schools should also make adequate and sensitive arrangements to help girls prepare for and manage menstruation including with requests for menstrual products. Schools will need to consider the needs of their cohort of pupils in designing this content.</w:t>
      </w:r>
    </w:p>
    <w:p>
      <w:pPr>
        <w:spacing w:after="0" w:line="288" w:lineRule="auto"/>
        <w:jc w:val="left"/>
        <w:rPr>
          <w:sz w:val="24"/>
        </w:rPr>
        <w:sectPr>
          <w:pgSz w:w="11910" w:h="16840"/>
          <w:pgMar w:header="708" w:footer="783" w:top="980" w:bottom="980" w:left="1020" w:right="760"/>
        </w:sectPr>
      </w:pPr>
    </w:p>
    <w:p>
      <w:pPr>
        <w:pStyle w:val="Heading2"/>
        <w:spacing w:before="139"/>
      </w:pPr>
      <w:bookmarkStart w:name="Physical health and mental wellbeing: Pr" w:id="66"/>
      <w:bookmarkEnd w:id="66"/>
      <w:r>
        <w:rPr>
          <w:b w:val="0"/>
        </w:rPr>
      </w:r>
      <w:bookmarkStart w:name="_bookmark36" w:id="67"/>
      <w:bookmarkEnd w:id="67"/>
      <w:r>
        <w:rPr>
          <w:b w:val="0"/>
        </w:rPr>
      </w:r>
      <w:r>
        <w:rPr>
          <w:color w:val="02466C"/>
        </w:rPr>
        <w:t>Physical health and mental wellbeing: Primary</w:t>
      </w:r>
    </w:p>
    <w:p>
      <w:pPr>
        <w:pStyle w:val="ListParagraph"/>
        <w:numPr>
          <w:ilvl w:val="0"/>
          <w:numId w:val="23"/>
        </w:numPr>
        <w:tabs>
          <w:tab w:pos="833" w:val="left" w:leader="none"/>
          <w:tab w:pos="834" w:val="left" w:leader="none"/>
        </w:tabs>
        <w:spacing w:line="288" w:lineRule="auto" w:before="199" w:after="0"/>
        <w:ind w:left="113" w:right="711" w:firstLine="0"/>
        <w:jc w:val="left"/>
        <w:rPr>
          <w:sz w:val="24"/>
        </w:rPr>
      </w:pPr>
      <w:r>
        <w:rPr>
          <w:sz w:val="24"/>
        </w:rPr>
        <w:t>The focus in primary school should be on teaching the characteristics of good physical health and mental wellbeing. Teachers should be clear that mental wellbeing is a normal part of daily life, in the same way as physical</w:t>
      </w:r>
      <w:r>
        <w:rPr>
          <w:spacing w:val="-5"/>
          <w:sz w:val="24"/>
        </w:rPr>
        <w:t> </w:t>
      </w:r>
      <w:r>
        <w:rPr>
          <w:sz w:val="24"/>
        </w:rPr>
        <w:t>health.</w:t>
      </w:r>
    </w:p>
    <w:p>
      <w:pPr>
        <w:pStyle w:val="ListParagraph"/>
        <w:numPr>
          <w:ilvl w:val="0"/>
          <w:numId w:val="23"/>
        </w:numPr>
        <w:tabs>
          <w:tab w:pos="833" w:val="left" w:leader="none"/>
          <w:tab w:pos="834" w:val="left" w:leader="none"/>
        </w:tabs>
        <w:spacing w:line="288" w:lineRule="auto" w:before="200" w:after="0"/>
        <w:ind w:left="113" w:right="669" w:firstLine="0"/>
        <w:jc w:val="left"/>
        <w:rPr>
          <w:sz w:val="24"/>
        </w:rPr>
      </w:pPr>
      <w:r>
        <w:rPr>
          <w:sz w:val="24"/>
        </w:rPr>
        <w:t>This starts with pupils being taught about the benefits and importance of daily exercise, good nutrition and sufficient sleep, and giving pupils the language and knowledge to understand the normal range of emotions that everyone experiences. This should enable pupils to articulate how they are feeling, develop the language to talk about their bodies, health and emotions and judge whether what they are feeling and how they are behaving is appropriate and proportionate for the situations that they experience.</w:t>
      </w:r>
    </w:p>
    <w:p>
      <w:pPr>
        <w:pStyle w:val="ListParagraph"/>
        <w:numPr>
          <w:ilvl w:val="0"/>
          <w:numId w:val="23"/>
        </w:numPr>
        <w:tabs>
          <w:tab w:pos="833" w:val="left" w:leader="none"/>
          <w:tab w:pos="834" w:val="left" w:leader="none"/>
        </w:tabs>
        <w:spacing w:line="288" w:lineRule="auto" w:before="200" w:after="0"/>
        <w:ind w:left="113" w:right="536" w:firstLine="0"/>
        <w:jc w:val="left"/>
        <w:rPr>
          <w:sz w:val="24"/>
        </w:rPr>
      </w:pPr>
      <w:r>
        <w:rPr>
          <w:sz w:val="24"/>
        </w:rPr>
        <w:t>Teachers should go on to talk about the steps pupils can take to protect and support their own and others’ health and wellbeing, including simple self-care techniques, personal hygiene, prevention of health and wellbeing problems and basic first</w:t>
      </w:r>
      <w:r>
        <w:rPr>
          <w:spacing w:val="-19"/>
          <w:sz w:val="24"/>
        </w:rPr>
        <w:t> </w:t>
      </w:r>
      <w:r>
        <w:rPr>
          <w:sz w:val="24"/>
        </w:rPr>
        <w:t>aid.</w:t>
      </w:r>
    </w:p>
    <w:p>
      <w:pPr>
        <w:pStyle w:val="ListParagraph"/>
        <w:numPr>
          <w:ilvl w:val="0"/>
          <w:numId w:val="23"/>
        </w:numPr>
        <w:tabs>
          <w:tab w:pos="833" w:val="left" w:leader="none"/>
          <w:tab w:pos="834" w:val="left" w:leader="none"/>
        </w:tabs>
        <w:spacing w:line="288" w:lineRule="auto" w:before="200" w:after="0"/>
        <w:ind w:left="113" w:right="1125" w:firstLine="0"/>
        <w:jc w:val="left"/>
        <w:rPr>
          <w:sz w:val="24"/>
        </w:rPr>
      </w:pPr>
      <w:r>
        <w:rPr>
          <w:sz w:val="24"/>
        </w:rPr>
        <w:t>Emphasis should be given to the positive two-way relationship between good physical health and good mental wellbeing, and the benefits to mental wellbeing of physical exercise and time spent</w:t>
      </w:r>
      <w:r>
        <w:rPr>
          <w:spacing w:val="-3"/>
          <w:sz w:val="24"/>
        </w:rPr>
        <w:t> </w:t>
      </w:r>
      <w:r>
        <w:rPr>
          <w:sz w:val="24"/>
        </w:rPr>
        <w:t>outdoors.</w:t>
      </w:r>
    </w:p>
    <w:p>
      <w:pPr>
        <w:pStyle w:val="ListParagraph"/>
        <w:numPr>
          <w:ilvl w:val="0"/>
          <w:numId w:val="23"/>
        </w:numPr>
        <w:tabs>
          <w:tab w:pos="833" w:val="left" w:leader="none"/>
          <w:tab w:pos="834" w:val="left" w:leader="none"/>
        </w:tabs>
        <w:spacing w:line="288" w:lineRule="auto" w:before="201" w:after="0"/>
        <w:ind w:left="113" w:right="686" w:firstLine="0"/>
        <w:jc w:val="left"/>
        <w:rPr>
          <w:sz w:val="24"/>
        </w:rPr>
      </w:pPr>
      <w:r>
        <w:rPr>
          <w:sz w:val="24"/>
        </w:rPr>
        <w:t>Pupils should also be taught the benefits of hobbies, interests and participation in their own communities. This teaching should make clear that people are social beings and that spending time with others, taking opportunities to consider the needs of others and practising service to others, including in organised and structured activities and groups (for example the scouts or girl guide movements), are beneficial for health and wellbeing.</w:t>
      </w:r>
    </w:p>
    <w:p>
      <w:pPr>
        <w:pStyle w:val="ListParagraph"/>
        <w:numPr>
          <w:ilvl w:val="0"/>
          <w:numId w:val="23"/>
        </w:numPr>
        <w:tabs>
          <w:tab w:pos="833" w:val="left" w:leader="none"/>
          <w:tab w:pos="834" w:val="left" w:leader="none"/>
        </w:tabs>
        <w:spacing w:line="288" w:lineRule="auto" w:before="199" w:after="0"/>
        <w:ind w:left="113" w:right="754" w:firstLine="0"/>
        <w:jc w:val="left"/>
        <w:rPr>
          <w:sz w:val="24"/>
        </w:rPr>
      </w:pPr>
      <w:r>
        <w:rPr>
          <w:sz w:val="24"/>
        </w:rPr>
        <w:t>Pupils should be taught about the benefits of rationing time spent online and the risks of excessive use of electronic devices. In later primary school, pupils should be taught why social media, computer games and online gaming have age restrictions and should be equipped to manage common difficulties encountered</w:t>
      </w:r>
      <w:r>
        <w:rPr>
          <w:spacing w:val="-9"/>
          <w:sz w:val="24"/>
        </w:rPr>
        <w:t> </w:t>
      </w:r>
      <w:r>
        <w:rPr>
          <w:sz w:val="24"/>
        </w:rPr>
        <w:t>online.</w:t>
      </w:r>
    </w:p>
    <w:p>
      <w:pPr>
        <w:pStyle w:val="ListParagraph"/>
        <w:numPr>
          <w:ilvl w:val="0"/>
          <w:numId w:val="23"/>
        </w:numPr>
        <w:tabs>
          <w:tab w:pos="833" w:val="left" w:leader="none"/>
          <w:tab w:pos="834" w:val="left" w:leader="none"/>
        </w:tabs>
        <w:spacing w:line="288" w:lineRule="auto" w:before="201" w:after="0"/>
        <w:ind w:left="113" w:right="725" w:firstLine="0"/>
        <w:jc w:val="left"/>
        <w:rPr>
          <w:sz w:val="24"/>
        </w:rPr>
      </w:pPr>
      <w:r>
        <w:rPr>
          <w:sz w:val="24"/>
        </w:rPr>
        <w:t>A firm foundation in the benefits and characteristics of good health and wellbeing will enable teachers to talk about isolation, loneliness, unhappiness, bullying and the negative impact of poor health and</w:t>
      </w:r>
      <w:r>
        <w:rPr>
          <w:spacing w:val="1"/>
          <w:sz w:val="24"/>
        </w:rPr>
        <w:t> </w:t>
      </w:r>
      <w:r>
        <w:rPr>
          <w:sz w:val="24"/>
        </w:rPr>
        <w:t>wellbeing.</w:t>
      </w:r>
    </w:p>
    <w:p>
      <w:pPr>
        <w:pStyle w:val="Heading8"/>
        <w:spacing w:before="181"/>
        <w:ind w:left="113"/>
      </w:pPr>
      <w:r>
        <w:rPr/>
        <w:t>By the end of primary school:</w:t>
      </w:r>
    </w:p>
    <w:p>
      <w:pPr>
        <w:pStyle w:val="BodyText"/>
        <w:spacing w:before="2"/>
        <w:rPr>
          <w:b/>
          <w:sz w:val="2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882"/>
      </w:tblGrid>
      <w:tr>
        <w:trPr>
          <w:trHeight w:val="2371" w:hRule="atLeast"/>
        </w:trPr>
        <w:tc>
          <w:tcPr>
            <w:tcW w:w="1470" w:type="dxa"/>
          </w:tcPr>
          <w:p>
            <w:pPr>
              <w:pStyle w:val="TableParagraph"/>
              <w:spacing w:line="288" w:lineRule="auto"/>
              <w:ind w:left="107" w:right="239"/>
              <w:rPr>
                <w:b/>
                <w:sz w:val="24"/>
              </w:rPr>
            </w:pPr>
            <w:r>
              <w:rPr>
                <w:b/>
                <w:sz w:val="24"/>
              </w:rPr>
              <w:t>Mental wellbeing</w:t>
            </w:r>
          </w:p>
        </w:tc>
        <w:tc>
          <w:tcPr>
            <w:tcW w:w="7882" w:type="dxa"/>
          </w:tcPr>
          <w:p>
            <w:pPr>
              <w:pStyle w:val="TableParagraph"/>
              <w:spacing w:line="275" w:lineRule="exact"/>
              <w:ind w:left="107"/>
              <w:rPr>
                <w:sz w:val="24"/>
              </w:rPr>
            </w:pPr>
            <w:r>
              <w:rPr>
                <w:sz w:val="24"/>
              </w:rPr>
              <w:t>Pupils should know</w:t>
            </w:r>
          </w:p>
          <w:p>
            <w:pPr>
              <w:pStyle w:val="TableParagraph"/>
              <w:numPr>
                <w:ilvl w:val="0"/>
                <w:numId w:val="30"/>
              </w:numPr>
              <w:tabs>
                <w:tab w:pos="467" w:val="left" w:leader="none"/>
                <w:tab w:pos="468" w:val="left" w:leader="none"/>
              </w:tabs>
              <w:spacing w:line="240" w:lineRule="auto" w:before="160" w:after="0"/>
              <w:ind w:left="467" w:right="359" w:hanging="360"/>
              <w:jc w:val="left"/>
              <w:rPr>
                <w:sz w:val="24"/>
              </w:rPr>
            </w:pPr>
            <w:r>
              <w:rPr>
                <w:sz w:val="24"/>
              </w:rPr>
              <w:t>that mental wellbeing is a normal part of daily life, in the same way as physical health.</w:t>
            </w:r>
          </w:p>
          <w:p>
            <w:pPr>
              <w:pStyle w:val="TableParagraph"/>
              <w:numPr>
                <w:ilvl w:val="0"/>
                <w:numId w:val="30"/>
              </w:numPr>
              <w:tabs>
                <w:tab w:pos="467" w:val="left" w:leader="none"/>
                <w:tab w:pos="468" w:val="left" w:leader="none"/>
              </w:tabs>
              <w:spacing w:line="242" w:lineRule="auto" w:before="109" w:after="0"/>
              <w:ind w:left="467" w:right="358" w:hanging="360"/>
              <w:jc w:val="left"/>
              <w:rPr>
                <w:sz w:val="24"/>
              </w:rPr>
            </w:pPr>
            <w:r>
              <w:rPr>
                <w:sz w:val="24"/>
              </w:rPr>
              <w:t>that there is a normal range of emotions (e.g. happiness, sadness, anger, fear, surprise, nervousness) and scale of emotions that all humans experience in relation to different experiences and situations.</w:t>
            </w:r>
          </w:p>
        </w:tc>
      </w:tr>
    </w:tbl>
    <w:p>
      <w:pPr>
        <w:spacing w:after="0" w:line="242" w:lineRule="auto"/>
        <w:jc w:val="left"/>
        <w:rPr>
          <w:sz w:val="24"/>
        </w:rPr>
        <w:sectPr>
          <w:pgSz w:w="11910" w:h="16840"/>
          <w:pgMar w:header="708" w:footer="783" w:top="980" w:bottom="980" w:left="1020" w:right="760"/>
        </w:sectPr>
      </w:pPr>
    </w:p>
    <w:p>
      <w:pPr>
        <w:pStyle w:val="BodyText"/>
        <w:spacing w:before="2"/>
        <w:rPr>
          <w:b/>
          <w:sz w:val="1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882"/>
      </w:tblGrid>
      <w:tr>
        <w:trPr>
          <w:trHeight w:val="7679" w:hRule="atLeast"/>
        </w:trPr>
        <w:tc>
          <w:tcPr>
            <w:tcW w:w="1470" w:type="dxa"/>
          </w:tcPr>
          <w:p>
            <w:pPr>
              <w:pStyle w:val="TableParagraph"/>
              <w:ind w:left="0"/>
              <w:rPr>
                <w:rFonts w:ascii="Times New Roman"/>
                <w:sz w:val="24"/>
              </w:rPr>
            </w:pPr>
          </w:p>
        </w:tc>
        <w:tc>
          <w:tcPr>
            <w:tcW w:w="7882" w:type="dxa"/>
          </w:tcPr>
          <w:p>
            <w:pPr>
              <w:pStyle w:val="TableParagraph"/>
              <w:numPr>
                <w:ilvl w:val="0"/>
                <w:numId w:val="31"/>
              </w:numPr>
              <w:tabs>
                <w:tab w:pos="468" w:val="left" w:leader="none"/>
              </w:tabs>
              <w:spacing w:line="277" w:lineRule="exact" w:before="0" w:after="0"/>
              <w:ind w:left="467" w:right="0" w:hanging="361"/>
              <w:jc w:val="both"/>
              <w:rPr>
                <w:sz w:val="24"/>
              </w:rPr>
            </w:pPr>
            <w:r>
              <w:rPr>
                <w:sz w:val="24"/>
              </w:rPr>
              <w:t>how to recognise and talk about their emotions, including having</w:t>
            </w:r>
            <w:r>
              <w:rPr>
                <w:spacing w:val="-17"/>
                <w:sz w:val="24"/>
              </w:rPr>
              <w:t> </w:t>
            </w:r>
            <w:r>
              <w:rPr>
                <w:sz w:val="24"/>
              </w:rPr>
              <w:t>a</w:t>
            </w:r>
          </w:p>
          <w:p>
            <w:pPr>
              <w:pStyle w:val="TableParagraph"/>
              <w:spacing w:line="242" w:lineRule="auto" w:before="3"/>
              <w:ind w:right="251"/>
              <w:jc w:val="both"/>
              <w:rPr>
                <w:sz w:val="24"/>
              </w:rPr>
            </w:pPr>
            <w:r>
              <w:rPr>
                <w:sz w:val="24"/>
              </w:rPr>
              <w:t>varied vocabulary of words to use when talking about their own and others’ feelings.</w:t>
            </w:r>
          </w:p>
          <w:p>
            <w:pPr>
              <w:pStyle w:val="TableParagraph"/>
              <w:numPr>
                <w:ilvl w:val="0"/>
                <w:numId w:val="31"/>
              </w:numPr>
              <w:tabs>
                <w:tab w:pos="468" w:val="left" w:leader="none"/>
              </w:tabs>
              <w:spacing w:line="242" w:lineRule="auto" w:before="105" w:after="0"/>
              <w:ind w:left="467" w:right="930" w:hanging="360"/>
              <w:jc w:val="both"/>
              <w:rPr>
                <w:sz w:val="24"/>
              </w:rPr>
            </w:pPr>
            <w:r>
              <w:rPr>
                <w:sz w:val="24"/>
              </w:rPr>
              <w:t>how to judge whether what they are feeling and how they are behaving is appropriate and</w:t>
            </w:r>
            <w:r>
              <w:rPr>
                <w:spacing w:val="-3"/>
                <w:sz w:val="24"/>
              </w:rPr>
              <w:t> </w:t>
            </w:r>
            <w:r>
              <w:rPr>
                <w:sz w:val="24"/>
              </w:rPr>
              <w:t>proportionate.</w:t>
            </w:r>
          </w:p>
          <w:p>
            <w:pPr>
              <w:pStyle w:val="TableParagraph"/>
              <w:numPr>
                <w:ilvl w:val="0"/>
                <w:numId w:val="31"/>
              </w:numPr>
              <w:tabs>
                <w:tab w:pos="468" w:val="left" w:leader="none"/>
              </w:tabs>
              <w:spacing w:line="242" w:lineRule="auto" w:before="105" w:after="0"/>
              <w:ind w:left="467" w:right="1052" w:hanging="360"/>
              <w:jc w:val="both"/>
              <w:rPr>
                <w:sz w:val="24"/>
              </w:rPr>
            </w:pPr>
            <w:r>
              <w:rPr>
                <w:sz w:val="24"/>
              </w:rPr>
              <w:t>the benefits of physical exercise, time outdoors, community participation, voluntary and service-based activity on mental wellbeing and</w:t>
            </w:r>
            <w:r>
              <w:rPr>
                <w:spacing w:val="-1"/>
                <w:sz w:val="24"/>
              </w:rPr>
              <w:t> </w:t>
            </w:r>
            <w:r>
              <w:rPr>
                <w:sz w:val="24"/>
              </w:rPr>
              <w:t>happiness.</w:t>
            </w:r>
          </w:p>
          <w:p>
            <w:pPr>
              <w:pStyle w:val="TableParagraph"/>
              <w:numPr>
                <w:ilvl w:val="0"/>
                <w:numId w:val="31"/>
              </w:numPr>
              <w:tabs>
                <w:tab w:pos="467" w:val="left" w:leader="none"/>
                <w:tab w:pos="468" w:val="left" w:leader="none"/>
              </w:tabs>
              <w:spacing w:line="242" w:lineRule="auto" w:before="105" w:after="0"/>
              <w:ind w:left="467" w:right="438" w:hanging="360"/>
              <w:jc w:val="left"/>
              <w:rPr>
                <w:sz w:val="24"/>
              </w:rPr>
            </w:pPr>
            <w:r>
              <w:rPr>
                <w:sz w:val="24"/>
              </w:rPr>
              <w:t>simple self-care techniques, including the importance of rest, time spent with friends and family and the benefits of hobbies and interests.</w:t>
            </w:r>
          </w:p>
          <w:p>
            <w:pPr>
              <w:pStyle w:val="TableParagraph"/>
              <w:numPr>
                <w:ilvl w:val="0"/>
                <w:numId w:val="31"/>
              </w:numPr>
              <w:tabs>
                <w:tab w:pos="467" w:val="left" w:leader="none"/>
                <w:tab w:pos="468" w:val="left" w:leader="none"/>
              </w:tabs>
              <w:spacing w:line="242" w:lineRule="auto" w:before="106" w:after="0"/>
              <w:ind w:left="467" w:right="133" w:hanging="360"/>
              <w:jc w:val="left"/>
              <w:rPr>
                <w:sz w:val="24"/>
              </w:rPr>
            </w:pPr>
            <w:r>
              <w:rPr>
                <w:sz w:val="24"/>
              </w:rPr>
              <w:t>isolation and loneliness can affect children and that it is very important for children to discuss their feelings with an adult and</w:t>
            </w:r>
            <w:r>
              <w:rPr>
                <w:spacing w:val="-32"/>
                <w:sz w:val="24"/>
              </w:rPr>
              <w:t> </w:t>
            </w:r>
            <w:r>
              <w:rPr>
                <w:sz w:val="24"/>
              </w:rPr>
              <w:t>seek support.</w:t>
            </w:r>
          </w:p>
          <w:p>
            <w:pPr>
              <w:pStyle w:val="TableParagraph"/>
              <w:numPr>
                <w:ilvl w:val="0"/>
                <w:numId w:val="31"/>
              </w:numPr>
              <w:tabs>
                <w:tab w:pos="467" w:val="left" w:leader="none"/>
                <w:tab w:pos="468" w:val="left" w:leader="none"/>
              </w:tabs>
              <w:spacing w:line="240" w:lineRule="auto" w:before="106" w:after="0"/>
              <w:ind w:left="467" w:right="784" w:hanging="360"/>
              <w:jc w:val="left"/>
              <w:rPr>
                <w:sz w:val="24"/>
              </w:rPr>
            </w:pPr>
            <w:r>
              <w:rPr>
                <w:sz w:val="24"/>
              </w:rPr>
              <w:t>that bullying (including cyberbullying) has a negative and often lasting impact on mental</w:t>
            </w:r>
            <w:r>
              <w:rPr>
                <w:spacing w:val="-1"/>
                <w:sz w:val="24"/>
              </w:rPr>
              <w:t> </w:t>
            </w:r>
            <w:r>
              <w:rPr>
                <w:sz w:val="24"/>
              </w:rPr>
              <w:t>wellbeing.</w:t>
            </w:r>
          </w:p>
          <w:p>
            <w:pPr>
              <w:pStyle w:val="TableParagraph"/>
              <w:numPr>
                <w:ilvl w:val="0"/>
                <w:numId w:val="31"/>
              </w:numPr>
              <w:tabs>
                <w:tab w:pos="467" w:val="left" w:leader="none"/>
                <w:tab w:pos="468" w:val="left" w:leader="none"/>
              </w:tabs>
              <w:spacing w:line="242" w:lineRule="auto" w:before="110" w:after="0"/>
              <w:ind w:left="467" w:right="199" w:hanging="360"/>
              <w:jc w:val="left"/>
              <w:rPr>
                <w:sz w:val="24"/>
              </w:rPr>
            </w:pPr>
            <w:r>
              <w:rPr>
                <w:sz w:val="24"/>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pPr>
              <w:pStyle w:val="TableParagraph"/>
              <w:numPr>
                <w:ilvl w:val="0"/>
                <w:numId w:val="31"/>
              </w:numPr>
              <w:tabs>
                <w:tab w:pos="467" w:val="left" w:leader="none"/>
                <w:tab w:pos="468" w:val="left" w:leader="none"/>
              </w:tabs>
              <w:spacing w:line="242" w:lineRule="auto" w:before="107" w:after="0"/>
              <w:ind w:left="467" w:right="330" w:hanging="360"/>
              <w:jc w:val="left"/>
              <w:rPr>
                <w:sz w:val="24"/>
              </w:rPr>
            </w:pPr>
            <w:r>
              <w:rPr>
                <w:sz w:val="24"/>
              </w:rPr>
              <w:t>it is common for people to experience mental ill health. For many people who do, the problems can be resolved if the right support is made available, especially if accessed early</w:t>
            </w:r>
            <w:r>
              <w:rPr>
                <w:spacing w:val="-5"/>
                <w:sz w:val="24"/>
              </w:rPr>
              <w:t> </w:t>
            </w:r>
            <w:r>
              <w:rPr>
                <w:sz w:val="24"/>
              </w:rPr>
              <w:t>enough.</w:t>
            </w:r>
          </w:p>
        </w:tc>
      </w:tr>
      <w:tr>
        <w:trPr>
          <w:trHeight w:val="6731" w:hRule="atLeast"/>
        </w:trPr>
        <w:tc>
          <w:tcPr>
            <w:tcW w:w="1470" w:type="dxa"/>
          </w:tcPr>
          <w:p>
            <w:pPr>
              <w:pStyle w:val="TableParagraph"/>
              <w:spacing w:line="288" w:lineRule="auto"/>
              <w:ind w:left="107" w:right="145"/>
              <w:rPr>
                <w:b/>
                <w:sz w:val="24"/>
              </w:rPr>
            </w:pPr>
            <w:r>
              <w:rPr>
                <w:b/>
                <w:sz w:val="24"/>
              </w:rPr>
              <w:t>Internet safety and harms</w:t>
            </w:r>
          </w:p>
        </w:tc>
        <w:tc>
          <w:tcPr>
            <w:tcW w:w="7882" w:type="dxa"/>
          </w:tcPr>
          <w:p>
            <w:pPr>
              <w:pStyle w:val="TableParagraph"/>
              <w:spacing w:line="275" w:lineRule="exact"/>
              <w:ind w:left="107"/>
              <w:rPr>
                <w:sz w:val="24"/>
              </w:rPr>
            </w:pPr>
            <w:r>
              <w:rPr>
                <w:sz w:val="24"/>
              </w:rPr>
              <w:t>Pupils should know</w:t>
            </w:r>
          </w:p>
          <w:p>
            <w:pPr>
              <w:pStyle w:val="TableParagraph"/>
              <w:spacing w:before="4"/>
              <w:ind w:left="0"/>
              <w:rPr>
                <w:b/>
                <w:sz w:val="24"/>
              </w:rPr>
            </w:pPr>
          </w:p>
          <w:p>
            <w:pPr>
              <w:pStyle w:val="TableParagraph"/>
              <w:numPr>
                <w:ilvl w:val="0"/>
                <w:numId w:val="32"/>
              </w:numPr>
              <w:tabs>
                <w:tab w:pos="467" w:val="left" w:leader="none"/>
                <w:tab w:pos="468" w:val="left" w:leader="none"/>
              </w:tabs>
              <w:spacing w:line="240" w:lineRule="auto" w:before="0" w:after="0"/>
              <w:ind w:left="467" w:right="545" w:hanging="360"/>
              <w:jc w:val="left"/>
              <w:rPr>
                <w:sz w:val="24"/>
              </w:rPr>
            </w:pPr>
            <w:r>
              <w:rPr>
                <w:sz w:val="24"/>
              </w:rPr>
              <w:t>that for most people the internet is an integral part of life and has many</w:t>
            </w:r>
            <w:r>
              <w:rPr>
                <w:spacing w:val="-1"/>
                <w:sz w:val="24"/>
              </w:rPr>
              <w:t> </w:t>
            </w:r>
            <w:r>
              <w:rPr>
                <w:sz w:val="24"/>
              </w:rPr>
              <w:t>benefits.</w:t>
            </w:r>
          </w:p>
          <w:p>
            <w:pPr>
              <w:pStyle w:val="TableParagraph"/>
              <w:numPr>
                <w:ilvl w:val="0"/>
                <w:numId w:val="32"/>
              </w:numPr>
              <w:tabs>
                <w:tab w:pos="467" w:val="left" w:leader="none"/>
                <w:tab w:pos="468" w:val="left" w:leader="none"/>
              </w:tabs>
              <w:spacing w:line="242" w:lineRule="auto" w:before="109" w:after="0"/>
              <w:ind w:left="467" w:right="171" w:hanging="360"/>
              <w:jc w:val="left"/>
              <w:rPr>
                <w:sz w:val="24"/>
              </w:rPr>
            </w:pPr>
            <w:r>
              <w:rPr>
                <w:sz w:val="24"/>
              </w:rPr>
              <w:t>about the benefits of rationing time spent online, the risks of excessive time spent on electronic devices and the impact of positive and negative content online on their own and others’ mental and physical</w:t>
            </w:r>
            <w:r>
              <w:rPr>
                <w:spacing w:val="-1"/>
                <w:sz w:val="24"/>
              </w:rPr>
              <w:t> </w:t>
            </w:r>
            <w:r>
              <w:rPr>
                <w:sz w:val="24"/>
              </w:rPr>
              <w:t>wellbeing.</w:t>
            </w:r>
          </w:p>
          <w:p>
            <w:pPr>
              <w:pStyle w:val="TableParagraph"/>
              <w:numPr>
                <w:ilvl w:val="0"/>
                <w:numId w:val="32"/>
              </w:numPr>
              <w:tabs>
                <w:tab w:pos="467" w:val="left" w:leader="none"/>
                <w:tab w:pos="468" w:val="left" w:leader="none"/>
              </w:tabs>
              <w:spacing w:line="242" w:lineRule="auto" w:before="108" w:after="0"/>
              <w:ind w:left="467" w:right="173" w:hanging="360"/>
              <w:jc w:val="left"/>
              <w:rPr>
                <w:sz w:val="24"/>
              </w:rPr>
            </w:pPr>
            <w:r>
              <w:rPr>
                <w:sz w:val="24"/>
              </w:rPr>
              <w:t>how to consider the effect of their online actions on others and</w:t>
            </w:r>
            <w:r>
              <w:rPr>
                <w:spacing w:val="-32"/>
                <w:sz w:val="24"/>
              </w:rPr>
              <w:t> </w:t>
            </w:r>
            <w:r>
              <w:rPr>
                <w:sz w:val="24"/>
              </w:rPr>
              <w:t>know how to recognise and display respectful behaviour online and the importance of keeping personal information</w:t>
            </w:r>
            <w:r>
              <w:rPr>
                <w:spacing w:val="-5"/>
                <w:sz w:val="24"/>
              </w:rPr>
              <w:t> </w:t>
            </w:r>
            <w:r>
              <w:rPr>
                <w:sz w:val="24"/>
              </w:rPr>
              <w:t>private.</w:t>
            </w:r>
          </w:p>
          <w:p>
            <w:pPr>
              <w:pStyle w:val="TableParagraph"/>
              <w:numPr>
                <w:ilvl w:val="0"/>
                <w:numId w:val="32"/>
              </w:numPr>
              <w:tabs>
                <w:tab w:pos="467" w:val="left" w:leader="none"/>
                <w:tab w:pos="468" w:val="left" w:leader="none"/>
              </w:tabs>
              <w:spacing w:line="240" w:lineRule="auto" w:before="105" w:after="0"/>
              <w:ind w:left="467" w:right="559" w:hanging="360"/>
              <w:jc w:val="left"/>
              <w:rPr>
                <w:sz w:val="24"/>
              </w:rPr>
            </w:pPr>
            <w:r>
              <w:rPr>
                <w:sz w:val="24"/>
              </w:rPr>
              <w:t>why social media, some computer games and online gaming, for example, are age restricted.</w:t>
            </w:r>
          </w:p>
          <w:p>
            <w:pPr>
              <w:pStyle w:val="TableParagraph"/>
              <w:numPr>
                <w:ilvl w:val="0"/>
                <w:numId w:val="32"/>
              </w:numPr>
              <w:tabs>
                <w:tab w:pos="468" w:val="left" w:leader="none"/>
              </w:tabs>
              <w:spacing w:line="242" w:lineRule="auto" w:before="110" w:after="0"/>
              <w:ind w:left="467" w:right="359" w:hanging="360"/>
              <w:jc w:val="both"/>
              <w:rPr>
                <w:sz w:val="24"/>
              </w:rPr>
            </w:pPr>
            <w:r>
              <w:rPr>
                <w:sz w:val="24"/>
              </w:rPr>
              <w:t>that the internet can also be a negative place where online abuse, trolling, bullying and harassment can take place, which can have</w:t>
            </w:r>
            <w:r>
              <w:rPr>
                <w:spacing w:val="-27"/>
                <w:sz w:val="24"/>
              </w:rPr>
              <w:t> </w:t>
            </w:r>
            <w:r>
              <w:rPr>
                <w:sz w:val="24"/>
              </w:rPr>
              <w:t>a negative impact on mental</w:t>
            </w:r>
            <w:r>
              <w:rPr>
                <w:spacing w:val="-1"/>
                <w:sz w:val="24"/>
              </w:rPr>
              <w:t> </w:t>
            </w:r>
            <w:r>
              <w:rPr>
                <w:sz w:val="24"/>
              </w:rPr>
              <w:t>health.</w:t>
            </w:r>
          </w:p>
          <w:p>
            <w:pPr>
              <w:pStyle w:val="TableParagraph"/>
              <w:numPr>
                <w:ilvl w:val="0"/>
                <w:numId w:val="32"/>
              </w:numPr>
              <w:tabs>
                <w:tab w:pos="467" w:val="left" w:leader="none"/>
                <w:tab w:pos="468" w:val="left" w:leader="none"/>
              </w:tabs>
              <w:spacing w:line="242" w:lineRule="auto" w:before="105" w:after="0"/>
              <w:ind w:left="467" w:right="304" w:hanging="360"/>
              <w:jc w:val="left"/>
              <w:rPr>
                <w:sz w:val="24"/>
              </w:rPr>
            </w:pPr>
            <w:r>
              <w:rPr>
                <w:sz w:val="24"/>
              </w:rPr>
              <w:t>how to be a discerning consumer of information online including understanding that information, including that from search engines, is ranked, selected and</w:t>
            </w:r>
            <w:r>
              <w:rPr>
                <w:spacing w:val="-1"/>
                <w:sz w:val="24"/>
              </w:rPr>
              <w:t> </w:t>
            </w:r>
            <w:r>
              <w:rPr>
                <w:sz w:val="24"/>
              </w:rPr>
              <w:t>targeted.</w:t>
            </w:r>
          </w:p>
          <w:p>
            <w:pPr>
              <w:pStyle w:val="TableParagraph"/>
              <w:numPr>
                <w:ilvl w:val="0"/>
                <w:numId w:val="32"/>
              </w:numPr>
              <w:tabs>
                <w:tab w:pos="467" w:val="left" w:leader="none"/>
                <w:tab w:pos="468" w:val="left" w:leader="none"/>
              </w:tabs>
              <w:spacing w:line="242" w:lineRule="auto" w:before="106" w:after="0"/>
              <w:ind w:left="467" w:right="801" w:hanging="360"/>
              <w:jc w:val="left"/>
              <w:rPr>
                <w:sz w:val="24"/>
              </w:rPr>
            </w:pPr>
            <w:r>
              <w:rPr>
                <w:sz w:val="24"/>
              </w:rPr>
              <w:t>where and how to report concerns and get support with</w:t>
            </w:r>
            <w:r>
              <w:rPr>
                <w:spacing w:val="-27"/>
                <w:sz w:val="24"/>
              </w:rPr>
              <w:t> </w:t>
            </w:r>
            <w:r>
              <w:rPr>
                <w:sz w:val="24"/>
              </w:rPr>
              <w:t>issues online.</w:t>
            </w:r>
          </w:p>
        </w:tc>
      </w:tr>
    </w:tbl>
    <w:p>
      <w:pPr>
        <w:spacing w:after="0" w:line="242" w:lineRule="auto"/>
        <w:jc w:val="left"/>
        <w:rPr>
          <w:sz w:val="24"/>
        </w:rPr>
        <w:sectPr>
          <w:pgSz w:w="11910" w:h="16840"/>
          <w:pgMar w:header="708" w:footer="783" w:top="980" w:bottom="980" w:left="1020" w:right="760"/>
        </w:sectPr>
      </w:pPr>
    </w:p>
    <w:p>
      <w:pPr>
        <w:pStyle w:val="BodyText"/>
        <w:spacing w:before="2"/>
        <w:rPr>
          <w:b/>
          <w:sz w:val="1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882"/>
      </w:tblGrid>
      <w:tr>
        <w:trPr>
          <w:trHeight w:val="3570" w:hRule="atLeast"/>
        </w:trPr>
        <w:tc>
          <w:tcPr>
            <w:tcW w:w="1470" w:type="dxa"/>
          </w:tcPr>
          <w:p>
            <w:pPr>
              <w:pStyle w:val="TableParagraph"/>
              <w:spacing w:line="288" w:lineRule="auto"/>
              <w:ind w:left="107" w:right="132"/>
              <w:rPr>
                <w:b/>
                <w:sz w:val="24"/>
              </w:rPr>
            </w:pPr>
            <w:r>
              <w:rPr>
                <w:b/>
                <w:sz w:val="24"/>
              </w:rPr>
              <w:t>Physical health and fitness</w:t>
            </w:r>
          </w:p>
        </w:tc>
        <w:tc>
          <w:tcPr>
            <w:tcW w:w="7882" w:type="dxa"/>
          </w:tcPr>
          <w:p>
            <w:pPr>
              <w:pStyle w:val="TableParagraph"/>
              <w:spacing w:line="274" w:lineRule="exact"/>
              <w:ind w:left="107"/>
              <w:rPr>
                <w:sz w:val="24"/>
              </w:rPr>
            </w:pPr>
            <w:r>
              <w:rPr>
                <w:sz w:val="24"/>
              </w:rPr>
              <w:t>Pupils should know</w:t>
            </w:r>
          </w:p>
          <w:p>
            <w:pPr>
              <w:pStyle w:val="TableParagraph"/>
              <w:spacing w:before="4"/>
              <w:ind w:left="0"/>
              <w:rPr>
                <w:b/>
                <w:sz w:val="24"/>
              </w:rPr>
            </w:pPr>
          </w:p>
          <w:p>
            <w:pPr>
              <w:pStyle w:val="TableParagraph"/>
              <w:numPr>
                <w:ilvl w:val="0"/>
                <w:numId w:val="33"/>
              </w:numPr>
              <w:tabs>
                <w:tab w:pos="467" w:val="left" w:leader="none"/>
                <w:tab w:pos="468" w:val="left" w:leader="none"/>
              </w:tabs>
              <w:spacing w:line="242" w:lineRule="auto" w:before="0" w:after="0"/>
              <w:ind w:left="467" w:right="613" w:hanging="360"/>
              <w:jc w:val="left"/>
              <w:rPr>
                <w:sz w:val="24"/>
              </w:rPr>
            </w:pPr>
            <w:r>
              <w:rPr>
                <w:sz w:val="24"/>
              </w:rPr>
              <w:t>the characteristics and mental and physical benefits of an</w:t>
            </w:r>
            <w:r>
              <w:rPr>
                <w:spacing w:val="-28"/>
                <w:sz w:val="24"/>
              </w:rPr>
              <w:t> </w:t>
            </w:r>
            <w:r>
              <w:rPr>
                <w:sz w:val="24"/>
              </w:rPr>
              <w:t>active lifestyle.</w:t>
            </w:r>
          </w:p>
          <w:p>
            <w:pPr>
              <w:pStyle w:val="TableParagraph"/>
              <w:numPr>
                <w:ilvl w:val="0"/>
                <w:numId w:val="33"/>
              </w:numPr>
              <w:tabs>
                <w:tab w:pos="467" w:val="left" w:leader="none"/>
                <w:tab w:pos="468" w:val="left" w:leader="none"/>
              </w:tabs>
              <w:spacing w:line="242" w:lineRule="auto" w:before="105" w:after="0"/>
              <w:ind w:left="467" w:right="372" w:hanging="360"/>
              <w:jc w:val="left"/>
              <w:rPr>
                <w:sz w:val="24"/>
              </w:rPr>
            </w:pPr>
            <w:r>
              <w:rPr>
                <w:sz w:val="24"/>
              </w:rPr>
              <w:t>the importance of building regular exercise into daily and weekly routines and how to achieve this; for example walking or cycling to school, a daily active mile or other forms of regular, vigorous exercise.</w:t>
            </w:r>
          </w:p>
          <w:p>
            <w:pPr>
              <w:pStyle w:val="TableParagraph"/>
              <w:numPr>
                <w:ilvl w:val="0"/>
                <w:numId w:val="33"/>
              </w:numPr>
              <w:tabs>
                <w:tab w:pos="467" w:val="left" w:leader="none"/>
                <w:tab w:pos="468" w:val="left" w:leader="none"/>
              </w:tabs>
              <w:spacing w:line="240" w:lineRule="auto" w:before="106" w:after="0"/>
              <w:ind w:left="467" w:right="0" w:hanging="361"/>
              <w:jc w:val="left"/>
              <w:rPr>
                <w:sz w:val="24"/>
              </w:rPr>
            </w:pPr>
            <w:r>
              <w:rPr>
                <w:sz w:val="24"/>
              </w:rPr>
              <w:t>the risks associated with an inactive lifestyle (including</w:t>
            </w:r>
            <w:r>
              <w:rPr>
                <w:spacing w:val="-13"/>
                <w:sz w:val="24"/>
              </w:rPr>
              <w:t> </w:t>
            </w:r>
            <w:r>
              <w:rPr>
                <w:sz w:val="24"/>
              </w:rPr>
              <w:t>obesity).</w:t>
            </w:r>
          </w:p>
          <w:p>
            <w:pPr>
              <w:pStyle w:val="TableParagraph"/>
              <w:numPr>
                <w:ilvl w:val="0"/>
                <w:numId w:val="33"/>
              </w:numPr>
              <w:tabs>
                <w:tab w:pos="467" w:val="left" w:leader="none"/>
                <w:tab w:pos="468" w:val="left" w:leader="none"/>
              </w:tabs>
              <w:spacing w:line="240" w:lineRule="auto" w:before="107" w:after="0"/>
              <w:ind w:left="467" w:right="251" w:hanging="360"/>
              <w:jc w:val="left"/>
              <w:rPr>
                <w:sz w:val="24"/>
              </w:rPr>
            </w:pPr>
            <w:r>
              <w:rPr>
                <w:sz w:val="24"/>
              </w:rPr>
              <w:t>how and when to seek support including which adults to speak to in school if they are worried about their</w:t>
            </w:r>
            <w:r>
              <w:rPr>
                <w:spacing w:val="-2"/>
                <w:sz w:val="24"/>
              </w:rPr>
              <w:t> </w:t>
            </w:r>
            <w:r>
              <w:rPr>
                <w:sz w:val="24"/>
              </w:rPr>
              <w:t>health.</w:t>
            </w:r>
          </w:p>
        </w:tc>
      </w:tr>
      <w:tr>
        <w:trPr>
          <w:trHeight w:val="2611" w:hRule="atLeast"/>
        </w:trPr>
        <w:tc>
          <w:tcPr>
            <w:tcW w:w="1470" w:type="dxa"/>
          </w:tcPr>
          <w:p>
            <w:pPr>
              <w:pStyle w:val="TableParagraph"/>
              <w:spacing w:line="288" w:lineRule="auto"/>
              <w:ind w:left="107" w:right="466"/>
              <w:rPr>
                <w:b/>
                <w:sz w:val="24"/>
              </w:rPr>
            </w:pPr>
            <w:r>
              <w:rPr>
                <w:b/>
                <w:sz w:val="24"/>
              </w:rPr>
              <w:t>Healthy eating</w:t>
            </w:r>
          </w:p>
        </w:tc>
        <w:tc>
          <w:tcPr>
            <w:tcW w:w="7882" w:type="dxa"/>
          </w:tcPr>
          <w:p>
            <w:pPr>
              <w:pStyle w:val="TableParagraph"/>
              <w:spacing w:line="275" w:lineRule="exact"/>
              <w:ind w:left="107"/>
              <w:rPr>
                <w:sz w:val="24"/>
              </w:rPr>
            </w:pPr>
            <w:r>
              <w:rPr>
                <w:sz w:val="24"/>
              </w:rPr>
              <w:t>Pupils should know</w:t>
            </w:r>
          </w:p>
          <w:p>
            <w:pPr>
              <w:pStyle w:val="TableParagraph"/>
              <w:spacing w:before="4"/>
              <w:ind w:left="0"/>
              <w:rPr>
                <w:b/>
                <w:sz w:val="24"/>
              </w:rPr>
            </w:pPr>
          </w:p>
          <w:p>
            <w:pPr>
              <w:pStyle w:val="TableParagraph"/>
              <w:numPr>
                <w:ilvl w:val="0"/>
                <w:numId w:val="34"/>
              </w:numPr>
              <w:tabs>
                <w:tab w:pos="467" w:val="left" w:leader="none"/>
                <w:tab w:pos="468" w:val="left" w:leader="none"/>
              </w:tabs>
              <w:spacing w:line="240" w:lineRule="auto" w:before="0" w:after="0"/>
              <w:ind w:left="467" w:right="144" w:hanging="360"/>
              <w:jc w:val="left"/>
              <w:rPr>
                <w:sz w:val="24"/>
              </w:rPr>
            </w:pPr>
            <w:r>
              <w:rPr>
                <w:sz w:val="24"/>
              </w:rPr>
              <w:t>what constitutes a healthy diet (including understanding calories and other nutritional content).</w:t>
            </w:r>
          </w:p>
          <w:p>
            <w:pPr>
              <w:pStyle w:val="TableParagraph"/>
              <w:numPr>
                <w:ilvl w:val="0"/>
                <w:numId w:val="34"/>
              </w:numPr>
              <w:tabs>
                <w:tab w:pos="467" w:val="left" w:leader="none"/>
                <w:tab w:pos="468" w:val="left" w:leader="none"/>
              </w:tabs>
              <w:spacing w:line="240" w:lineRule="auto" w:before="109" w:after="0"/>
              <w:ind w:left="467" w:right="0" w:hanging="361"/>
              <w:jc w:val="left"/>
              <w:rPr>
                <w:sz w:val="24"/>
              </w:rPr>
            </w:pPr>
            <w:r>
              <w:rPr>
                <w:sz w:val="24"/>
              </w:rPr>
              <w:t>the principles of planning and preparing a range of healthy</w:t>
            </w:r>
            <w:r>
              <w:rPr>
                <w:spacing w:val="-19"/>
                <w:sz w:val="24"/>
              </w:rPr>
              <w:t> </w:t>
            </w:r>
            <w:r>
              <w:rPr>
                <w:sz w:val="24"/>
              </w:rPr>
              <w:t>meals.</w:t>
            </w:r>
          </w:p>
          <w:p>
            <w:pPr>
              <w:pStyle w:val="TableParagraph"/>
              <w:numPr>
                <w:ilvl w:val="0"/>
                <w:numId w:val="34"/>
              </w:numPr>
              <w:tabs>
                <w:tab w:pos="467" w:val="left" w:leader="none"/>
                <w:tab w:pos="468" w:val="left" w:leader="none"/>
              </w:tabs>
              <w:spacing w:line="242" w:lineRule="auto" w:before="107" w:after="0"/>
              <w:ind w:left="467" w:right="158" w:hanging="360"/>
              <w:jc w:val="left"/>
              <w:rPr>
                <w:sz w:val="24"/>
              </w:rPr>
            </w:pPr>
            <w:r>
              <w:rPr>
                <w:sz w:val="24"/>
              </w:rPr>
              <w:t>the characteristics of a poor diet and risks associated with unhealthy eating (including, for example, obesity and tooth decay) and other behaviours (e.g. the impact of alcohol on diet or</w:t>
            </w:r>
            <w:r>
              <w:rPr>
                <w:spacing w:val="-7"/>
                <w:sz w:val="24"/>
              </w:rPr>
              <w:t> </w:t>
            </w:r>
            <w:r>
              <w:rPr>
                <w:sz w:val="24"/>
              </w:rPr>
              <w:t>health).</w:t>
            </w:r>
          </w:p>
        </w:tc>
      </w:tr>
      <w:tr>
        <w:trPr>
          <w:trHeight w:val="1564" w:hRule="atLeast"/>
        </w:trPr>
        <w:tc>
          <w:tcPr>
            <w:tcW w:w="1470" w:type="dxa"/>
          </w:tcPr>
          <w:p>
            <w:pPr>
              <w:pStyle w:val="TableParagraph"/>
              <w:spacing w:line="288" w:lineRule="auto"/>
              <w:ind w:left="107" w:right="412"/>
              <w:rPr>
                <w:b/>
                <w:sz w:val="24"/>
              </w:rPr>
            </w:pPr>
            <w:r>
              <w:rPr>
                <w:b/>
                <w:sz w:val="24"/>
              </w:rPr>
              <w:t>Drugs, alcohol and tobacco</w:t>
            </w:r>
          </w:p>
        </w:tc>
        <w:tc>
          <w:tcPr>
            <w:tcW w:w="7882" w:type="dxa"/>
          </w:tcPr>
          <w:p>
            <w:pPr>
              <w:pStyle w:val="TableParagraph"/>
              <w:spacing w:line="274" w:lineRule="exact"/>
              <w:ind w:left="107"/>
              <w:rPr>
                <w:sz w:val="24"/>
              </w:rPr>
            </w:pPr>
            <w:r>
              <w:rPr>
                <w:sz w:val="24"/>
              </w:rPr>
              <w:t>Pupils should know</w:t>
            </w:r>
          </w:p>
          <w:p>
            <w:pPr>
              <w:pStyle w:val="TableParagraph"/>
              <w:spacing w:before="4"/>
              <w:ind w:left="0"/>
              <w:rPr>
                <w:b/>
                <w:sz w:val="24"/>
              </w:rPr>
            </w:pPr>
          </w:p>
          <w:p>
            <w:pPr>
              <w:pStyle w:val="TableParagraph"/>
              <w:numPr>
                <w:ilvl w:val="0"/>
                <w:numId w:val="35"/>
              </w:numPr>
              <w:tabs>
                <w:tab w:pos="467" w:val="left" w:leader="none"/>
                <w:tab w:pos="468" w:val="left" w:leader="none"/>
              </w:tabs>
              <w:spacing w:line="240" w:lineRule="auto" w:before="0" w:after="0"/>
              <w:ind w:left="467" w:right="277" w:hanging="360"/>
              <w:jc w:val="left"/>
              <w:rPr>
                <w:sz w:val="24"/>
              </w:rPr>
            </w:pPr>
            <w:r>
              <w:rPr>
                <w:sz w:val="24"/>
              </w:rPr>
              <w:t>the facts about legal and illegal harmful substances and associated risks, including smoking, alcohol use and</w:t>
            </w:r>
            <w:r>
              <w:rPr>
                <w:spacing w:val="-4"/>
                <w:sz w:val="24"/>
              </w:rPr>
              <w:t> </w:t>
            </w:r>
            <w:r>
              <w:rPr>
                <w:sz w:val="24"/>
              </w:rPr>
              <w:t>drug-taking.</w:t>
            </w:r>
          </w:p>
        </w:tc>
      </w:tr>
      <w:tr>
        <w:trPr>
          <w:trHeight w:val="4366" w:hRule="atLeast"/>
        </w:trPr>
        <w:tc>
          <w:tcPr>
            <w:tcW w:w="1470" w:type="dxa"/>
          </w:tcPr>
          <w:p>
            <w:pPr>
              <w:pStyle w:val="TableParagraph"/>
              <w:spacing w:line="288" w:lineRule="auto"/>
              <w:ind w:left="107" w:right="106"/>
              <w:rPr>
                <w:b/>
                <w:sz w:val="24"/>
              </w:rPr>
            </w:pPr>
            <w:r>
              <w:rPr>
                <w:b/>
                <w:sz w:val="24"/>
              </w:rPr>
              <w:t>Health and prevention</w:t>
            </w:r>
          </w:p>
        </w:tc>
        <w:tc>
          <w:tcPr>
            <w:tcW w:w="7882" w:type="dxa"/>
          </w:tcPr>
          <w:p>
            <w:pPr>
              <w:pStyle w:val="TableParagraph"/>
              <w:spacing w:line="274" w:lineRule="exact"/>
              <w:ind w:left="107"/>
              <w:rPr>
                <w:sz w:val="24"/>
              </w:rPr>
            </w:pPr>
            <w:r>
              <w:rPr>
                <w:sz w:val="24"/>
              </w:rPr>
              <w:t>Pupils should know</w:t>
            </w:r>
          </w:p>
          <w:p>
            <w:pPr>
              <w:pStyle w:val="TableParagraph"/>
              <w:spacing w:before="4"/>
              <w:ind w:left="0"/>
              <w:rPr>
                <w:b/>
                <w:sz w:val="24"/>
              </w:rPr>
            </w:pPr>
          </w:p>
          <w:p>
            <w:pPr>
              <w:pStyle w:val="TableParagraph"/>
              <w:numPr>
                <w:ilvl w:val="0"/>
                <w:numId w:val="36"/>
              </w:numPr>
              <w:tabs>
                <w:tab w:pos="467" w:val="left" w:leader="none"/>
                <w:tab w:pos="468" w:val="left" w:leader="none"/>
              </w:tabs>
              <w:spacing w:line="242" w:lineRule="auto" w:before="0" w:after="0"/>
              <w:ind w:left="467" w:right="158" w:hanging="360"/>
              <w:jc w:val="left"/>
              <w:rPr>
                <w:rFonts w:ascii="Symbol" w:hAnsi="Symbol"/>
                <w:sz w:val="24"/>
              </w:rPr>
            </w:pPr>
            <w:r>
              <w:rPr>
                <w:sz w:val="24"/>
              </w:rPr>
              <w:t>how to recognise early signs of physical illness, such as weight loss, or unexplained changes to the</w:t>
            </w:r>
            <w:r>
              <w:rPr>
                <w:spacing w:val="-1"/>
                <w:sz w:val="24"/>
              </w:rPr>
              <w:t> </w:t>
            </w:r>
            <w:r>
              <w:rPr>
                <w:sz w:val="24"/>
              </w:rPr>
              <w:t>body.</w:t>
            </w:r>
          </w:p>
          <w:p>
            <w:pPr>
              <w:pStyle w:val="TableParagraph"/>
              <w:numPr>
                <w:ilvl w:val="0"/>
                <w:numId w:val="36"/>
              </w:numPr>
              <w:tabs>
                <w:tab w:pos="467" w:val="left" w:leader="none"/>
                <w:tab w:pos="468" w:val="left" w:leader="none"/>
              </w:tabs>
              <w:spacing w:line="240" w:lineRule="auto" w:before="105" w:after="0"/>
              <w:ind w:left="467" w:right="343" w:hanging="360"/>
              <w:jc w:val="left"/>
              <w:rPr>
                <w:rFonts w:ascii="Symbol" w:hAnsi="Symbol"/>
                <w:sz w:val="24"/>
              </w:rPr>
            </w:pPr>
            <w:r>
              <w:rPr>
                <w:sz w:val="24"/>
              </w:rPr>
              <w:t>about safe and unsafe exposure to the sun, and how to reduce the risk of sun damage, including skin</w:t>
            </w:r>
            <w:r>
              <w:rPr>
                <w:spacing w:val="-2"/>
                <w:sz w:val="24"/>
              </w:rPr>
              <w:t> </w:t>
            </w:r>
            <w:r>
              <w:rPr>
                <w:sz w:val="24"/>
              </w:rPr>
              <w:t>cancer.</w:t>
            </w:r>
          </w:p>
          <w:p>
            <w:pPr>
              <w:pStyle w:val="TableParagraph"/>
              <w:numPr>
                <w:ilvl w:val="0"/>
                <w:numId w:val="36"/>
              </w:numPr>
              <w:tabs>
                <w:tab w:pos="467" w:val="left" w:leader="none"/>
                <w:tab w:pos="468" w:val="left" w:leader="none"/>
              </w:tabs>
              <w:spacing w:line="240" w:lineRule="auto" w:before="110" w:after="0"/>
              <w:ind w:left="467" w:right="400" w:hanging="360"/>
              <w:jc w:val="left"/>
              <w:rPr>
                <w:rFonts w:ascii="Symbol" w:hAnsi="Symbol"/>
                <w:sz w:val="24"/>
              </w:rPr>
            </w:pPr>
            <w:r>
              <w:rPr>
                <w:sz w:val="24"/>
              </w:rPr>
              <w:t>the importance of sufficient good quality sleep for good health</w:t>
            </w:r>
            <w:r>
              <w:rPr>
                <w:spacing w:val="-32"/>
                <w:sz w:val="24"/>
              </w:rPr>
              <w:t> </w:t>
            </w:r>
            <w:r>
              <w:rPr>
                <w:sz w:val="24"/>
              </w:rPr>
              <w:t>and that a lack of sleep can affect weight, mood and ability to</w:t>
            </w:r>
            <w:r>
              <w:rPr>
                <w:spacing w:val="-21"/>
                <w:sz w:val="24"/>
              </w:rPr>
              <w:t> </w:t>
            </w:r>
            <w:r>
              <w:rPr>
                <w:sz w:val="24"/>
              </w:rPr>
              <w:t>learn.</w:t>
            </w:r>
          </w:p>
          <w:p>
            <w:pPr>
              <w:pStyle w:val="TableParagraph"/>
              <w:numPr>
                <w:ilvl w:val="0"/>
                <w:numId w:val="36"/>
              </w:numPr>
              <w:tabs>
                <w:tab w:pos="467" w:val="left" w:leader="none"/>
                <w:tab w:pos="468" w:val="left" w:leader="none"/>
              </w:tabs>
              <w:spacing w:line="242" w:lineRule="auto" w:before="109" w:after="0"/>
              <w:ind w:left="467" w:right="157" w:hanging="360"/>
              <w:jc w:val="left"/>
              <w:rPr>
                <w:rFonts w:ascii="Symbol" w:hAnsi="Symbol"/>
                <w:sz w:val="24"/>
              </w:rPr>
            </w:pPr>
            <w:r>
              <w:rPr>
                <w:sz w:val="24"/>
              </w:rPr>
              <w:t>about dental health and the benefits of good oral hygiene and dental flossing, including regular check-ups at the</w:t>
            </w:r>
            <w:r>
              <w:rPr>
                <w:spacing w:val="-3"/>
                <w:sz w:val="24"/>
              </w:rPr>
              <w:t> </w:t>
            </w:r>
            <w:r>
              <w:rPr>
                <w:sz w:val="24"/>
              </w:rPr>
              <w:t>dentist.</w:t>
            </w:r>
          </w:p>
          <w:p>
            <w:pPr>
              <w:pStyle w:val="TableParagraph"/>
              <w:numPr>
                <w:ilvl w:val="0"/>
                <w:numId w:val="36"/>
              </w:numPr>
              <w:tabs>
                <w:tab w:pos="467" w:val="left" w:leader="none"/>
                <w:tab w:pos="468" w:val="left" w:leader="none"/>
              </w:tabs>
              <w:spacing w:line="240" w:lineRule="auto" w:before="105" w:after="0"/>
              <w:ind w:left="467" w:right="303" w:hanging="360"/>
              <w:jc w:val="left"/>
              <w:rPr>
                <w:rFonts w:ascii="Symbol" w:hAnsi="Symbol"/>
                <w:sz w:val="24"/>
              </w:rPr>
            </w:pPr>
            <w:r>
              <w:rPr>
                <w:sz w:val="24"/>
              </w:rPr>
              <w:t>about personal hygiene and germs including bacteria, viruses, how they are spread and treated, and the importance of</w:t>
            </w:r>
            <w:r>
              <w:rPr>
                <w:spacing w:val="-25"/>
                <w:sz w:val="24"/>
              </w:rPr>
              <w:t> </w:t>
            </w:r>
            <w:r>
              <w:rPr>
                <w:sz w:val="24"/>
              </w:rPr>
              <w:t>handwashing.</w:t>
            </w:r>
          </w:p>
          <w:p>
            <w:pPr>
              <w:pStyle w:val="TableParagraph"/>
              <w:numPr>
                <w:ilvl w:val="0"/>
                <w:numId w:val="36"/>
              </w:numPr>
              <w:tabs>
                <w:tab w:pos="467" w:val="left" w:leader="none"/>
                <w:tab w:pos="468" w:val="left" w:leader="none"/>
              </w:tabs>
              <w:spacing w:line="240" w:lineRule="auto" w:before="125" w:after="0"/>
              <w:ind w:left="467" w:right="0" w:hanging="361"/>
              <w:jc w:val="left"/>
              <w:rPr>
                <w:rFonts w:ascii="Symbol" w:hAnsi="Symbol"/>
                <w:sz w:val="22"/>
              </w:rPr>
            </w:pPr>
            <w:r>
              <w:rPr>
                <w:sz w:val="24"/>
              </w:rPr>
              <w:t>the facts and science relating to immunisation and</w:t>
            </w:r>
            <w:r>
              <w:rPr>
                <w:spacing w:val="-11"/>
                <w:sz w:val="24"/>
              </w:rPr>
              <w:t> </w:t>
            </w:r>
            <w:r>
              <w:rPr>
                <w:sz w:val="24"/>
              </w:rPr>
              <w:t>vaccination</w:t>
            </w:r>
          </w:p>
        </w:tc>
      </w:tr>
      <w:tr>
        <w:trPr>
          <w:trHeight w:val="1931" w:hRule="atLeast"/>
        </w:trPr>
        <w:tc>
          <w:tcPr>
            <w:tcW w:w="1470" w:type="dxa"/>
          </w:tcPr>
          <w:p>
            <w:pPr>
              <w:pStyle w:val="TableParagraph"/>
              <w:spacing w:line="288" w:lineRule="auto"/>
              <w:ind w:left="107" w:right="172"/>
              <w:rPr>
                <w:b/>
                <w:sz w:val="24"/>
              </w:rPr>
            </w:pPr>
            <w:r>
              <w:rPr>
                <w:b/>
                <w:sz w:val="24"/>
              </w:rPr>
              <w:t>Basic first aid</w:t>
            </w:r>
          </w:p>
        </w:tc>
        <w:tc>
          <w:tcPr>
            <w:tcW w:w="7882" w:type="dxa"/>
          </w:tcPr>
          <w:p>
            <w:pPr>
              <w:pStyle w:val="TableParagraph"/>
              <w:spacing w:line="275" w:lineRule="exact"/>
              <w:ind w:left="107"/>
              <w:rPr>
                <w:sz w:val="24"/>
              </w:rPr>
            </w:pPr>
            <w:r>
              <w:rPr>
                <w:sz w:val="24"/>
              </w:rPr>
              <w:t>Pupils should know:</w:t>
            </w:r>
          </w:p>
          <w:p>
            <w:pPr>
              <w:pStyle w:val="TableParagraph"/>
              <w:spacing w:before="4"/>
              <w:ind w:left="0"/>
              <w:rPr>
                <w:b/>
                <w:sz w:val="24"/>
              </w:rPr>
            </w:pPr>
          </w:p>
          <w:p>
            <w:pPr>
              <w:pStyle w:val="TableParagraph"/>
              <w:numPr>
                <w:ilvl w:val="0"/>
                <w:numId w:val="37"/>
              </w:numPr>
              <w:tabs>
                <w:tab w:pos="467" w:val="left" w:leader="none"/>
                <w:tab w:pos="468" w:val="left" w:leader="none"/>
              </w:tabs>
              <w:spacing w:line="240" w:lineRule="auto" w:before="0" w:after="0"/>
              <w:ind w:left="467" w:right="812" w:hanging="360"/>
              <w:jc w:val="left"/>
              <w:rPr>
                <w:sz w:val="24"/>
              </w:rPr>
            </w:pPr>
            <w:r>
              <w:rPr>
                <w:sz w:val="24"/>
              </w:rPr>
              <w:t>how to make a clear and efficient call to emergency services if necessary.</w:t>
            </w:r>
          </w:p>
          <w:p>
            <w:pPr>
              <w:pStyle w:val="TableParagraph"/>
              <w:numPr>
                <w:ilvl w:val="0"/>
                <w:numId w:val="37"/>
              </w:numPr>
              <w:tabs>
                <w:tab w:pos="467" w:val="left" w:leader="none"/>
                <w:tab w:pos="468" w:val="left" w:leader="none"/>
              </w:tabs>
              <w:spacing w:line="242" w:lineRule="auto" w:before="109" w:after="0"/>
              <w:ind w:left="467" w:right="985" w:hanging="360"/>
              <w:jc w:val="left"/>
              <w:rPr>
                <w:sz w:val="24"/>
              </w:rPr>
            </w:pPr>
            <w:r>
              <w:rPr>
                <w:sz w:val="24"/>
              </w:rPr>
              <w:t>concepts of basic first-aid, for example dealing with common injuries, including head</w:t>
            </w:r>
            <w:r>
              <w:rPr>
                <w:spacing w:val="-1"/>
                <w:sz w:val="24"/>
              </w:rPr>
              <w:t> </w:t>
            </w:r>
            <w:r>
              <w:rPr>
                <w:sz w:val="24"/>
              </w:rPr>
              <w:t>injuries.</w:t>
            </w:r>
          </w:p>
        </w:tc>
      </w:tr>
    </w:tbl>
    <w:p>
      <w:pPr>
        <w:spacing w:after="0" w:line="242" w:lineRule="auto"/>
        <w:jc w:val="left"/>
        <w:rPr>
          <w:sz w:val="24"/>
        </w:rPr>
        <w:sectPr>
          <w:pgSz w:w="11910" w:h="16840"/>
          <w:pgMar w:header="708" w:footer="783" w:top="980" w:bottom="980" w:left="1020" w:right="760"/>
        </w:sectPr>
      </w:pPr>
    </w:p>
    <w:p>
      <w:pPr>
        <w:pStyle w:val="BodyText"/>
        <w:spacing w:before="2"/>
        <w:rPr>
          <w:b/>
          <w:sz w:val="1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882"/>
      </w:tblGrid>
      <w:tr>
        <w:trPr>
          <w:trHeight w:val="2211" w:hRule="atLeast"/>
        </w:trPr>
        <w:tc>
          <w:tcPr>
            <w:tcW w:w="1470" w:type="dxa"/>
          </w:tcPr>
          <w:p>
            <w:pPr>
              <w:pStyle w:val="TableParagraph"/>
              <w:spacing w:line="288" w:lineRule="auto"/>
              <w:ind w:left="107" w:right="79"/>
              <w:rPr>
                <w:b/>
                <w:sz w:val="24"/>
              </w:rPr>
            </w:pPr>
            <w:r>
              <w:rPr>
                <w:b/>
                <w:sz w:val="24"/>
              </w:rPr>
              <w:t>Changing adolescent body</w:t>
            </w:r>
          </w:p>
        </w:tc>
        <w:tc>
          <w:tcPr>
            <w:tcW w:w="7882" w:type="dxa"/>
          </w:tcPr>
          <w:p>
            <w:pPr>
              <w:pStyle w:val="TableParagraph"/>
              <w:spacing w:line="274" w:lineRule="exact"/>
              <w:ind w:left="107"/>
              <w:rPr>
                <w:sz w:val="24"/>
              </w:rPr>
            </w:pPr>
            <w:r>
              <w:rPr>
                <w:sz w:val="24"/>
              </w:rPr>
              <w:t>Pupils should know:</w:t>
            </w:r>
          </w:p>
          <w:p>
            <w:pPr>
              <w:pStyle w:val="TableParagraph"/>
              <w:spacing w:before="4"/>
              <w:ind w:left="0"/>
              <w:rPr>
                <w:b/>
                <w:sz w:val="24"/>
              </w:rPr>
            </w:pPr>
          </w:p>
          <w:p>
            <w:pPr>
              <w:pStyle w:val="TableParagraph"/>
              <w:numPr>
                <w:ilvl w:val="0"/>
                <w:numId w:val="38"/>
              </w:numPr>
              <w:tabs>
                <w:tab w:pos="467" w:val="left" w:leader="none"/>
                <w:tab w:pos="468" w:val="left" w:leader="none"/>
              </w:tabs>
              <w:spacing w:line="242" w:lineRule="auto" w:before="0" w:after="0"/>
              <w:ind w:left="467" w:right="598" w:hanging="360"/>
              <w:jc w:val="left"/>
              <w:rPr>
                <w:sz w:val="24"/>
              </w:rPr>
            </w:pPr>
            <w:r>
              <w:rPr>
                <w:sz w:val="24"/>
              </w:rPr>
              <w:t>key facts about puberty and the changing adolescent body, particularly from age 9 through to age 11, including physical and emotional</w:t>
            </w:r>
            <w:r>
              <w:rPr>
                <w:spacing w:val="-1"/>
                <w:sz w:val="24"/>
              </w:rPr>
              <w:t> </w:t>
            </w:r>
            <w:r>
              <w:rPr>
                <w:sz w:val="24"/>
              </w:rPr>
              <w:t>changes.</w:t>
            </w:r>
          </w:p>
          <w:p>
            <w:pPr>
              <w:pStyle w:val="TableParagraph"/>
              <w:numPr>
                <w:ilvl w:val="0"/>
                <w:numId w:val="38"/>
              </w:numPr>
              <w:tabs>
                <w:tab w:pos="467" w:val="left" w:leader="none"/>
                <w:tab w:pos="468" w:val="left" w:leader="none"/>
              </w:tabs>
              <w:spacing w:line="242" w:lineRule="auto" w:before="106" w:after="0"/>
              <w:ind w:left="467" w:right="1118" w:hanging="360"/>
              <w:jc w:val="left"/>
              <w:rPr>
                <w:sz w:val="24"/>
              </w:rPr>
            </w:pPr>
            <w:r>
              <w:rPr>
                <w:sz w:val="24"/>
              </w:rPr>
              <w:t>about menstrual wellbeing including the key facts about the menstrual</w:t>
            </w:r>
            <w:r>
              <w:rPr>
                <w:spacing w:val="-1"/>
                <w:sz w:val="24"/>
              </w:rPr>
              <w:t> </w:t>
            </w:r>
            <w:r>
              <w:rPr>
                <w:sz w:val="24"/>
              </w:rPr>
              <w:t>cycle.</w:t>
            </w:r>
          </w:p>
        </w:tc>
      </w:tr>
    </w:tbl>
    <w:p>
      <w:pPr>
        <w:pStyle w:val="BodyText"/>
        <w:rPr>
          <w:b/>
          <w:sz w:val="20"/>
        </w:rPr>
      </w:pPr>
    </w:p>
    <w:p>
      <w:pPr>
        <w:pStyle w:val="Heading2"/>
        <w:spacing w:before="250"/>
      </w:pPr>
      <w:bookmarkStart w:name="Physical health and mental wellbeing: Se" w:id="68"/>
      <w:bookmarkEnd w:id="68"/>
      <w:r>
        <w:rPr>
          <w:b w:val="0"/>
        </w:rPr>
      </w:r>
      <w:bookmarkStart w:name="_bookmark37" w:id="69"/>
      <w:bookmarkEnd w:id="69"/>
      <w:r>
        <w:rPr>
          <w:b w:val="0"/>
        </w:rPr>
      </w:r>
      <w:r>
        <w:rPr>
          <w:color w:val="02466C"/>
        </w:rPr>
        <w:t>Physical health and mental wellbeing: Secondary</w:t>
      </w:r>
    </w:p>
    <w:p>
      <w:pPr>
        <w:pStyle w:val="ListParagraph"/>
        <w:numPr>
          <w:ilvl w:val="0"/>
          <w:numId w:val="23"/>
        </w:numPr>
        <w:tabs>
          <w:tab w:pos="833" w:val="left" w:leader="none"/>
          <w:tab w:pos="834" w:val="left" w:leader="none"/>
        </w:tabs>
        <w:spacing w:line="288" w:lineRule="auto" w:before="238" w:after="0"/>
        <w:ind w:left="113" w:right="524" w:firstLine="0"/>
        <w:jc w:val="left"/>
        <w:rPr>
          <w:sz w:val="24"/>
        </w:rPr>
      </w:pPr>
      <w:r>
        <w:rPr>
          <w:sz w:val="24"/>
        </w:rPr>
        <w:t>It is important that the starting point for health and wellbeing education should be a focus on enabling pupils to make well-informed, positive choices for themselves. In secondary school, teaching should build on primary content and should introduce new content to older pupils at appropriate points. This should enable pupils to understand how their bodies are changing, how they are feeling and why, to further develop the language that they use to talk about their bodies, health and emotions and to understand why terms associated with mental and physical health difficulties should not be used pejoratively. This knowledge should enable pupils to understand where normal variations in emotions and physical complaints end and health and wellbeing issues</w:t>
      </w:r>
      <w:r>
        <w:rPr>
          <w:spacing w:val="-15"/>
          <w:sz w:val="24"/>
        </w:rPr>
        <w:t> </w:t>
      </w:r>
      <w:r>
        <w:rPr>
          <w:sz w:val="24"/>
        </w:rPr>
        <w:t>begin.</w:t>
      </w:r>
    </w:p>
    <w:p>
      <w:pPr>
        <w:pStyle w:val="ListParagraph"/>
        <w:numPr>
          <w:ilvl w:val="0"/>
          <w:numId w:val="23"/>
        </w:numPr>
        <w:tabs>
          <w:tab w:pos="833" w:val="left" w:leader="none"/>
          <w:tab w:pos="834" w:val="left" w:leader="none"/>
        </w:tabs>
        <w:spacing w:line="288" w:lineRule="auto" w:before="240" w:after="0"/>
        <w:ind w:left="113" w:right="792" w:firstLine="0"/>
        <w:jc w:val="left"/>
        <w:rPr>
          <w:sz w:val="24"/>
        </w:rPr>
      </w:pPr>
      <w:r>
        <w:rPr>
          <w:sz w:val="24"/>
        </w:rPr>
        <w:t>Teaching about the impact of puberty, which will have started in primary school, should continue in secondary school, so that pupils are able to understand the physical and emotional changes, which take place at this time and their impact on their wider health and wellbeing.</w:t>
      </w:r>
    </w:p>
    <w:p>
      <w:pPr>
        <w:pStyle w:val="ListParagraph"/>
        <w:numPr>
          <w:ilvl w:val="0"/>
          <w:numId w:val="23"/>
        </w:numPr>
        <w:tabs>
          <w:tab w:pos="833" w:val="left" w:leader="none"/>
          <w:tab w:pos="834" w:val="left" w:leader="none"/>
        </w:tabs>
        <w:spacing w:line="288" w:lineRule="auto" w:before="241" w:after="0"/>
        <w:ind w:left="113" w:right="563" w:firstLine="0"/>
        <w:jc w:val="left"/>
        <w:rPr>
          <w:sz w:val="24"/>
        </w:rPr>
      </w:pPr>
      <w:r>
        <w:rPr>
          <w:sz w:val="24"/>
        </w:rPr>
        <w:t>Emphasis should continue to be given to steps pupils can take to protect and support their own health and wellbeing. They should know that there is a relationship between good physical health and good mental wellbeing and that this can also influence their ability to learn. Teachers should cover self-care, the benefits of physical activity and time spent outdoors. This should be linked to information on the benefits of sufficient sleep, good nutrition and strategies for building</w:t>
      </w:r>
      <w:r>
        <w:rPr>
          <w:spacing w:val="-2"/>
          <w:sz w:val="24"/>
        </w:rPr>
        <w:t> </w:t>
      </w:r>
      <w:r>
        <w:rPr>
          <w:sz w:val="24"/>
        </w:rPr>
        <w:t>resilience.</w:t>
      </w:r>
    </w:p>
    <w:p>
      <w:pPr>
        <w:pStyle w:val="ListParagraph"/>
        <w:numPr>
          <w:ilvl w:val="0"/>
          <w:numId w:val="23"/>
        </w:numPr>
        <w:tabs>
          <w:tab w:pos="833" w:val="left" w:leader="none"/>
          <w:tab w:pos="834" w:val="left" w:leader="none"/>
        </w:tabs>
        <w:spacing w:line="288" w:lineRule="auto" w:before="240" w:after="0"/>
        <w:ind w:left="113" w:right="740" w:firstLine="0"/>
        <w:jc w:val="left"/>
        <w:rPr>
          <w:sz w:val="24"/>
        </w:rPr>
      </w:pPr>
      <w:r>
        <w:rPr>
          <w:sz w:val="24"/>
        </w:rPr>
        <w:t>Pupils should know the contribution that hobbies, interests and participation in their own communities can make to overall wellbeing. They should understand that humans are social beings and that outward-facing activity, especially that with a service focus (for example, work, volunteering and participation in organisations such as the scouts or the girl guiding movements, the National Citizen Service or the Duke of Edinburgh Award) are beneficial for wellbeing. This can also contribute to the development of the attributes for a happy and successful adult life. Pupils should be supported to recognise what makes them feel lonely. Self-focused or isolating lifestyle choices can lead to unhappiness and being disconnected from society for those who have greater need for companionship and</w:t>
      </w:r>
      <w:r>
        <w:rPr>
          <w:spacing w:val="-3"/>
          <w:sz w:val="24"/>
        </w:rPr>
        <w:t> </w:t>
      </w:r>
      <w:r>
        <w:rPr>
          <w:sz w:val="24"/>
        </w:rPr>
        <w:t>relationships.</w:t>
      </w:r>
    </w:p>
    <w:p>
      <w:pPr>
        <w:spacing w:after="0" w:line="288" w:lineRule="auto"/>
        <w:jc w:val="left"/>
        <w:rPr>
          <w:sz w:val="24"/>
        </w:rPr>
        <w:sectPr>
          <w:pgSz w:w="11910" w:h="16840"/>
          <w:pgMar w:header="708" w:footer="783" w:top="980" w:bottom="980" w:left="1020" w:right="760"/>
        </w:sectPr>
      </w:pPr>
    </w:p>
    <w:p>
      <w:pPr>
        <w:pStyle w:val="ListParagraph"/>
        <w:numPr>
          <w:ilvl w:val="0"/>
          <w:numId w:val="23"/>
        </w:numPr>
        <w:tabs>
          <w:tab w:pos="833" w:val="left" w:leader="none"/>
          <w:tab w:pos="834" w:val="left" w:leader="none"/>
        </w:tabs>
        <w:spacing w:line="285" w:lineRule="auto" w:before="138" w:after="0"/>
        <w:ind w:left="114" w:right="699" w:firstLine="0"/>
        <w:jc w:val="left"/>
        <w:rPr>
          <w:sz w:val="24"/>
        </w:rPr>
      </w:pPr>
      <w:r>
        <w:rPr>
          <w:sz w:val="24"/>
        </w:rPr>
        <w:t>Pupils should also be taught about problems and challenges. This should include factual information about the prevalence and characteristics of more serious mental and physical health conditions, drugs, alcohol and information about effective interventions. Schools may also choose to teach about issues such as eating disorders</w:t>
      </w:r>
      <w:r>
        <w:rPr>
          <w:spacing w:val="-34"/>
          <w:sz w:val="24"/>
        </w:rPr>
        <w:t> </w:t>
      </w:r>
      <w:r>
        <w:rPr>
          <w:position w:val="8"/>
          <w:sz w:val="16"/>
        </w:rPr>
        <w:t>14</w:t>
      </w:r>
      <w:r>
        <w:rPr>
          <w:sz w:val="24"/>
        </w:rPr>
        <w:t>.</w:t>
      </w:r>
    </w:p>
    <w:p>
      <w:pPr>
        <w:pStyle w:val="ListParagraph"/>
        <w:numPr>
          <w:ilvl w:val="0"/>
          <w:numId w:val="23"/>
        </w:numPr>
        <w:tabs>
          <w:tab w:pos="833" w:val="left" w:leader="none"/>
          <w:tab w:pos="834" w:val="left" w:leader="none"/>
        </w:tabs>
        <w:spacing w:line="288" w:lineRule="auto" w:before="246" w:after="0"/>
        <w:ind w:left="113" w:right="525" w:firstLine="0"/>
        <w:jc w:val="left"/>
        <w:rPr>
          <w:sz w:val="24"/>
        </w:rPr>
      </w:pPr>
      <w:r>
        <w:rPr>
          <w:sz w:val="24"/>
        </w:rPr>
        <w:t>Teachers should be aware of common ‘adverse childhood experiences’ (such as family breakdown, bereavement and exposure to domestic violence) and when and how these may be affecting any of their pupils and so may be influencing how they experience these subjects. The impact of time spent online, the positive aspects of online support and negotiating social media, including online forums and gaming, should also be included. Teachers should understand that pupils who have experienced problems at home may depend more on schools for</w:t>
      </w:r>
      <w:r>
        <w:rPr>
          <w:spacing w:val="-2"/>
          <w:sz w:val="24"/>
        </w:rPr>
        <w:t> </w:t>
      </w:r>
      <w:r>
        <w:rPr>
          <w:sz w:val="24"/>
        </w:rPr>
        <w:t>support.</w:t>
      </w:r>
    </w:p>
    <w:p>
      <w:pPr>
        <w:pStyle w:val="ListParagraph"/>
        <w:numPr>
          <w:ilvl w:val="0"/>
          <w:numId w:val="23"/>
        </w:numPr>
        <w:tabs>
          <w:tab w:pos="833" w:val="left" w:leader="none"/>
          <w:tab w:pos="834" w:val="left" w:leader="none"/>
        </w:tabs>
        <w:spacing w:line="288" w:lineRule="auto" w:before="241" w:after="0"/>
        <w:ind w:left="113" w:right="673" w:firstLine="0"/>
        <w:jc w:val="left"/>
        <w:rPr>
          <w:sz w:val="24"/>
        </w:rPr>
      </w:pPr>
      <w:r>
        <w:rPr>
          <w:sz w:val="24"/>
        </w:rPr>
        <w:t>Pupils should be taught how to judge when they, or someone they know, needs support and where they can seek help if they have concerns. This should include details on which adults in school (e.g. school nurses), and externally can</w:t>
      </w:r>
      <w:r>
        <w:rPr>
          <w:spacing w:val="-8"/>
          <w:sz w:val="24"/>
        </w:rPr>
        <w:t> </w:t>
      </w:r>
      <w:r>
        <w:rPr>
          <w:sz w:val="24"/>
        </w:rPr>
        <w:t>help.</w:t>
      </w:r>
    </w:p>
    <w:p>
      <w:pPr>
        <w:pStyle w:val="Heading8"/>
        <w:spacing w:line="288" w:lineRule="auto" w:before="241"/>
        <w:ind w:left="114" w:right="661"/>
      </w:pPr>
      <w:r>
        <w:rPr/>
        <w:t>Schools should continue to develop knowledge on topics specified for primary as required </w:t>
      </w:r>
      <w:r>
        <w:rPr>
          <w:u w:val="thick"/>
        </w:rPr>
        <w:t>and in addition</w:t>
      </w:r>
      <w:r>
        <w:rPr/>
        <w:t> cover the following content by the end of secondary:</w:t>
      </w:r>
    </w:p>
    <w:p>
      <w:pPr>
        <w:pStyle w:val="BodyText"/>
        <w:spacing w:before="10" w:after="1"/>
        <w:rPr>
          <w:b/>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603"/>
      </w:tblGrid>
      <w:tr>
        <w:trPr>
          <w:trHeight w:val="4319" w:hRule="atLeast"/>
        </w:trPr>
        <w:tc>
          <w:tcPr>
            <w:tcW w:w="1470" w:type="dxa"/>
          </w:tcPr>
          <w:p>
            <w:pPr>
              <w:pStyle w:val="TableParagraph"/>
              <w:spacing w:line="288" w:lineRule="auto"/>
              <w:ind w:left="107" w:right="239"/>
              <w:rPr>
                <w:b/>
                <w:sz w:val="24"/>
              </w:rPr>
            </w:pPr>
            <w:r>
              <w:rPr>
                <w:b/>
                <w:sz w:val="24"/>
              </w:rPr>
              <w:t>Mental wellbeing</w:t>
            </w:r>
          </w:p>
        </w:tc>
        <w:tc>
          <w:tcPr>
            <w:tcW w:w="7603" w:type="dxa"/>
          </w:tcPr>
          <w:p>
            <w:pPr>
              <w:pStyle w:val="TableParagraph"/>
              <w:spacing w:line="275" w:lineRule="exact"/>
              <w:ind w:left="107"/>
              <w:rPr>
                <w:sz w:val="24"/>
              </w:rPr>
            </w:pPr>
            <w:r>
              <w:rPr>
                <w:sz w:val="24"/>
              </w:rPr>
              <w:t>Pupils should know</w:t>
            </w:r>
          </w:p>
          <w:p>
            <w:pPr>
              <w:pStyle w:val="TableParagraph"/>
              <w:numPr>
                <w:ilvl w:val="0"/>
                <w:numId w:val="39"/>
              </w:numPr>
              <w:tabs>
                <w:tab w:pos="467" w:val="left" w:leader="none"/>
                <w:tab w:pos="468" w:val="left" w:leader="none"/>
              </w:tabs>
              <w:spacing w:line="242" w:lineRule="auto" w:before="227" w:after="0"/>
              <w:ind w:left="467" w:right="226" w:hanging="360"/>
              <w:jc w:val="left"/>
              <w:rPr>
                <w:sz w:val="24"/>
              </w:rPr>
            </w:pPr>
            <w:r>
              <w:rPr>
                <w:sz w:val="24"/>
              </w:rPr>
              <w:t>how to talk about their emotions accurately and sensitively, using appropriate vocabulary.</w:t>
            </w:r>
          </w:p>
          <w:p>
            <w:pPr>
              <w:pStyle w:val="TableParagraph"/>
              <w:numPr>
                <w:ilvl w:val="0"/>
                <w:numId w:val="39"/>
              </w:numPr>
              <w:tabs>
                <w:tab w:pos="467" w:val="left" w:leader="none"/>
                <w:tab w:pos="468" w:val="left" w:leader="none"/>
              </w:tabs>
              <w:spacing w:line="240" w:lineRule="auto" w:before="105" w:after="0"/>
              <w:ind w:left="467" w:right="0" w:hanging="361"/>
              <w:jc w:val="left"/>
              <w:rPr>
                <w:sz w:val="24"/>
              </w:rPr>
            </w:pPr>
            <w:r>
              <w:rPr>
                <w:sz w:val="24"/>
              </w:rPr>
              <w:t>that happiness is linked to being connected to</w:t>
            </w:r>
            <w:r>
              <w:rPr>
                <w:spacing w:val="-6"/>
                <w:sz w:val="24"/>
              </w:rPr>
              <w:t> </w:t>
            </w:r>
            <w:r>
              <w:rPr>
                <w:sz w:val="24"/>
              </w:rPr>
              <w:t>others.</w:t>
            </w:r>
          </w:p>
          <w:p>
            <w:pPr>
              <w:pStyle w:val="TableParagraph"/>
              <w:numPr>
                <w:ilvl w:val="0"/>
                <w:numId w:val="39"/>
              </w:numPr>
              <w:tabs>
                <w:tab w:pos="467" w:val="left" w:leader="none"/>
                <w:tab w:pos="468" w:val="left" w:leader="none"/>
              </w:tabs>
              <w:spacing w:line="240" w:lineRule="auto" w:before="105" w:after="0"/>
              <w:ind w:left="467" w:right="0" w:hanging="361"/>
              <w:jc w:val="left"/>
              <w:rPr>
                <w:sz w:val="24"/>
              </w:rPr>
            </w:pPr>
            <w:r>
              <w:rPr>
                <w:sz w:val="24"/>
              </w:rPr>
              <w:t>how to recognise the early signs of mental wellbeing</w:t>
            </w:r>
            <w:r>
              <w:rPr>
                <w:spacing w:val="-15"/>
                <w:sz w:val="24"/>
              </w:rPr>
              <w:t> </w:t>
            </w:r>
            <w:r>
              <w:rPr>
                <w:sz w:val="24"/>
              </w:rPr>
              <w:t>concerns.</w:t>
            </w:r>
          </w:p>
          <w:p>
            <w:pPr>
              <w:pStyle w:val="TableParagraph"/>
              <w:numPr>
                <w:ilvl w:val="0"/>
                <w:numId w:val="39"/>
              </w:numPr>
              <w:tabs>
                <w:tab w:pos="467" w:val="left" w:leader="none"/>
                <w:tab w:pos="468" w:val="left" w:leader="none"/>
              </w:tabs>
              <w:spacing w:line="240" w:lineRule="auto" w:before="107" w:after="0"/>
              <w:ind w:left="467" w:right="0" w:hanging="361"/>
              <w:jc w:val="left"/>
              <w:rPr>
                <w:sz w:val="24"/>
              </w:rPr>
            </w:pPr>
            <w:r>
              <w:rPr>
                <w:sz w:val="24"/>
              </w:rPr>
              <w:t>common types of mental ill health (e.g. anxiety and</w:t>
            </w:r>
            <w:r>
              <w:rPr>
                <w:spacing w:val="-20"/>
                <w:sz w:val="24"/>
              </w:rPr>
              <w:t> </w:t>
            </w:r>
            <w:r>
              <w:rPr>
                <w:sz w:val="24"/>
              </w:rPr>
              <w:t>depression).</w:t>
            </w:r>
          </w:p>
          <w:p>
            <w:pPr>
              <w:pStyle w:val="TableParagraph"/>
              <w:numPr>
                <w:ilvl w:val="0"/>
                <w:numId w:val="39"/>
              </w:numPr>
              <w:tabs>
                <w:tab w:pos="468" w:val="left" w:leader="none"/>
              </w:tabs>
              <w:spacing w:line="242" w:lineRule="auto" w:before="106" w:after="0"/>
              <w:ind w:left="467" w:right="213" w:hanging="360"/>
              <w:jc w:val="both"/>
              <w:rPr>
                <w:sz w:val="24"/>
              </w:rPr>
            </w:pPr>
            <w:r>
              <w:rPr>
                <w:sz w:val="24"/>
              </w:rPr>
              <w:t>how to critically evaluate when something they do or are involved in has a positive or negative effect on their own or others’ mental health.</w:t>
            </w:r>
          </w:p>
          <w:p>
            <w:pPr>
              <w:pStyle w:val="TableParagraph"/>
              <w:numPr>
                <w:ilvl w:val="0"/>
                <w:numId w:val="39"/>
              </w:numPr>
              <w:tabs>
                <w:tab w:pos="467" w:val="left" w:leader="none"/>
                <w:tab w:pos="468" w:val="left" w:leader="none"/>
              </w:tabs>
              <w:spacing w:line="242" w:lineRule="auto" w:before="105" w:after="0"/>
              <w:ind w:left="467" w:right="347" w:hanging="360"/>
              <w:jc w:val="left"/>
              <w:rPr>
                <w:sz w:val="24"/>
              </w:rPr>
            </w:pPr>
            <w:r>
              <w:rPr>
                <w:sz w:val="24"/>
              </w:rPr>
              <w:t>the benefits and importance of physical exercise, time outdoors, community participation and voluntary and service-based activities on mental wellbeing and</w:t>
            </w:r>
            <w:r>
              <w:rPr>
                <w:spacing w:val="-4"/>
                <w:sz w:val="24"/>
              </w:rPr>
              <w:t> </w:t>
            </w:r>
            <w:r>
              <w:rPr>
                <w:sz w:val="24"/>
              </w:rPr>
              <w:t>happiness.</w:t>
            </w:r>
          </w:p>
        </w:tc>
      </w:tr>
      <w:tr>
        <w:trPr>
          <w:trHeight w:val="2531" w:hRule="atLeast"/>
        </w:trPr>
        <w:tc>
          <w:tcPr>
            <w:tcW w:w="1470" w:type="dxa"/>
          </w:tcPr>
          <w:p>
            <w:pPr>
              <w:pStyle w:val="TableParagraph"/>
              <w:spacing w:line="288" w:lineRule="auto"/>
              <w:ind w:left="107" w:right="145"/>
              <w:rPr>
                <w:b/>
                <w:sz w:val="24"/>
              </w:rPr>
            </w:pPr>
            <w:r>
              <w:rPr>
                <w:b/>
                <w:sz w:val="24"/>
              </w:rPr>
              <w:t>Internet safety and harms</w:t>
            </w:r>
          </w:p>
        </w:tc>
        <w:tc>
          <w:tcPr>
            <w:tcW w:w="7603" w:type="dxa"/>
          </w:tcPr>
          <w:p>
            <w:pPr>
              <w:pStyle w:val="TableParagraph"/>
              <w:spacing w:line="274" w:lineRule="exact"/>
              <w:ind w:left="107"/>
              <w:rPr>
                <w:sz w:val="24"/>
              </w:rPr>
            </w:pPr>
            <w:r>
              <w:rPr>
                <w:sz w:val="24"/>
              </w:rPr>
              <w:t>Pupils should know</w:t>
            </w:r>
          </w:p>
          <w:p>
            <w:pPr>
              <w:pStyle w:val="TableParagraph"/>
              <w:spacing w:before="3"/>
              <w:ind w:left="0"/>
              <w:rPr>
                <w:b/>
                <w:sz w:val="24"/>
              </w:rPr>
            </w:pPr>
          </w:p>
          <w:p>
            <w:pPr>
              <w:pStyle w:val="TableParagraph"/>
              <w:numPr>
                <w:ilvl w:val="0"/>
                <w:numId w:val="40"/>
              </w:numPr>
              <w:tabs>
                <w:tab w:pos="467" w:val="left" w:leader="none"/>
                <w:tab w:pos="468" w:val="left" w:leader="none"/>
              </w:tabs>
              <w:spacing w:line="242" w:lineRule="auto" w:before="0" w:after="0"/>
              <w:ind w:left="467" w:right="158" w:hanging="360"/>
              <w:jc w:val="left"/>
              <w:rPr>
                <w:sz w:val="24"/>
              </w:rPr>
            </w:pPr>
            <w:r>
              <w:rPr>
                <w:sz w:val="24"/>
              </w:rPr>
              <w:t>the similarities and differences between the online world and the physical world, including: the impact of unhealthy or obsessive comparison with others online (including through setting unrealistic expectations for body image, how people may curate a specific image of their life online, over-reliance on</w:t>
            </w:r>
            <w:r>
              <w:rPr>
                <w:spacing w:val="-12"/>
                <w:sz w:val="24"/>
              </w:rPr>
              <w:t> </w:t>
            </w:r>
            <w:r>
              <w:rPr>
                <w:sz w:val="24"/>
              </w:rPr>
              <w:t>online</w:t>
            </w:r>
          </w:p>
          <w:p>
            <w:pPr>
              <w:pStyle w:val="TableParagraph"/>
              <w:spacing w:line="270" w:lineRule="exact" w:before="16"/>
              <w:ind w:right="168"/>
              <w:rPr>
                <w:sz w:val="24"/>
              </w:rPr>
            </w:pPr>
            <w:r>
              <w:rPr>
                <w:sz w:val="24"/>
              </w:rPr>
              <w:t>relationships including social media, the risks related to online gambling including the accumulation of debt, how advertising and</w:t>
            </w:r>
          </w:p>
        </w:tc>
      </w:tr>
    </w:tbl>
    <w:p>
      <w:pPr>
        <w:pStyle w:val="BodyText"/>
        <w:spacing w:before="9"/>
        <w:rPr>
          <w:b/>
          <w:sz w:val="29"/>
        </w:rPr>
      </w:pPr>
      <w:r>
        <w:rPr/>
        <w:pict>
          <v:shape style="position:absolute;margin-left:56.700001pt;margin-top:19.379999pt;width:144pt;height:.1pt;mso-position-horizontal-relative:page;mso-position-vertical-relative:paragraph;z-index:-251643904;mso-wrap-distance-left:0;mso-wrap-distance-right:0" coordorigin="1134,388" coordsize="2880,0" path="m1134,388l4014,388e" filled="false" stroked="true" strokeweight=".6pt" strokecolor="#000000">
            <v:path arrowok="t"/>
            <v:stroke dashstyle="solid"/>
            <w10:wrap type="topAndBottom"/>
          </v:shape>
        </w:pict>
      </w:r>
    </w:p>
    <w:p>
      <w:pPr>
        <w:pStyle w:val="BodyText"/>
        <w:spacing w:before="1"/>
        <w:rPr>
          <w:b/>
          <w:sz w:val="25"/>
        </w:rPr>
      </w:pPr>
    </w:p>
    <w:p>
      <w:pPr>
        <w:spacing w:before="0"/>
        <w:ind w:left="113" w:right="590" w:firstLine="0"/>
        <w:jc w:val="left"/>
        <w:rPr>
          <w:sz w:val="18"/>
        </w:rPr>
      </w:pPr>
      <w:r>
        <w:rPr>
          <w:position w:val="6"/>
          <w:sz w:val="12"/>
        </w:rPr>
        <w:t>14 </w:t>
      </w:r>
      <w:r>
        <w:rPr>
          <w:sz w:val="18"/>
        </w:rPr>
        <w:t>Eating disorders and extreme weight loss are a specialised area and schools should use qualified support or advice as needed. Schools may consider accessing support from the NHS or local specialist services who may be able to provide advice and CPD for teachers.</w:t>
      </w:r>
    </w:p>
    <w:p>
      <w:pPr>
        <w:spacing w:after="0"/>
        <w:jc w:val="left"/>
        <w:rPr>
          <w:sz w:val="18"/>
        </w:rPr>
        <w:sectPr>
          <w:pgSz w:w="11910" w:h="16840"/>
          <w:pgMar w:header="708" w:footer="783" w:top="980" w:bottom="980" w:left="1020" w:right="760"/>
        </w:sectPr>
      </w:pPr>
    </w:p>
    <w:p>
      <w:pPr>
        <w:pStyle w:val="BodyText"/>
        <w:spacing w:before="2"/>
        <w:rPr>
          <w:sz w:val="1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603"/>
      </w:tblGrid>
      <w:tr>
        <w:trPr>
          <w:trHeight w:val="1640" w:hRule="atLeast"/>
        </w:trPr>
        <w:tc>
          <w:tcPr>
            <w:tcW w:w="1470" w:type="dxa"/>
          </w:tcPr>
          <w:p>
            <w:pPr>
              <w:pStyle w:val="TableParagraph"/>
              <w:ind w:left="0"/>
              <w:rPr>
                <w:rFonts w:ascii="Times New Roman"/>
                <w:sz w:val="24"/>
              </w:rPr>
            </w:pPr>
          </w:p>
        </w:tc>
        <w:tc>
          <w:tcPr>
            <w:tcW w:w="7603" w:type="dxa"/>
          </w:tcPr>
          <w:p>
            <w:pPr>
              <w:pStyle w:val="TableParagraph"/>
              <w:spacing w:line="244" w:lineRule="auto"/>
              <w:ind w:right="929"/>
              <w:rPr>
                <w:sz w:val="24"/>
              </w:rPr>
            </w:pPr>
            <w:r>
              <w:rPr>
                <w:sz w:val="24"/>
              </w:rPr>
              <w:t>information is targeted at them and how to be a discerning consumer of information online.</w:t>
            </w:r>
          </w:p>
          <w:p>
            <w:pPr>
              <w:pStyle w:val="TableParagraph"/>
              <w:numPr>
                <w:ilvl w:val="0"/>
                <w:numId w:val="41"/>
              </w:numPr>
              <w:tabs>
                <w:tab w:pos="467" w:val="left" w:leader="none"/>
                <w:tab w:pos="468" w:val="left" w:leader="none"/>
              </w:tabs>
              <w:spacing w:line="242" w:lineRule="auto" w:before="100" w:after="0"/>
              <w:ind w:left="467" w:right="414" w:hanging="360"/>
              <w:jc w:val="left"/>
              <w:rPr>
                <w:sz w:val="24"/>
              </w:rPr>
            </w:pPr>
            <w:r>
              <w:rPr>
                <w:sz w:val="24"/>
              </w:rPr>
              <w:t>how to identify harmful behaviours online (including bullying, abuse or harassment) and how to report, or find support, if</w:t>
            </w:r>
            <w:r>
              <w:rPr>
                <w:spacing w:val="-31"/>
                <w:sz w:val="24"/>
              </w:rPr>
              <w:t> </w:t>
            </w:r>
            <w:r>
              <w:rPr>
                <w:sz w:val="24"/>
              </w:rPr>
              <w:t>they have been affected by those</w:t>
            </w:r>
            <w:r>
              <w:rPr>
                <w:spacing w:val="-3"/>
                <w:sz w:val="24"/>
              </w:rPr>
              <w:t> </w:t>
            </w:r>
            <w:r>
              <w:rPr>
                <w:sz w:val="24"/>
              </w:rPr>
              <w:t>behaviours.</w:t>
            </w:r>
          </w:p>
        </w:tc>
      </w:tr>
      <w:tr>
        <w:trPr>
          <w:trHeight w:val="2839" w:hRule="atLeast"/>
        </w:trPr>
        <w:tc>
          <w:tcPr>
            <w:tcW w:w="1470" w:type="dxa"/>
          </w:tcPr>
          <w:p>
            <w:pPr>
              <w:pStyle w:val="TableParagraph"/>
              <w:spacing w:line="288" w:lineRule="auto"/>
              <w:ind w:left="107" w:right="132"/>
              <w:rPr>
                <w:b/>
                <w:sz w:val="24"/>
              </w:rPr>
            </w:pPr>
            <w:r>
              <w:rPr>
                <w:b/>
                <w:sz w:val="24"/>
              </w:rPr>
              <w:t>Physical health and fitness</w:t>
            </w:r>
          </w:p>
        </w:tc>
        <w:tc>
          <w:tcPr>
            <w:tcW w:w="7603" w:type="dxa"/>
          </w:tcPr>
          <w:p>
            <w:pPr>
              <w:pStyle w:val="TableParagraph"/>
              <w:spacing w:line="275" w:lineRule="exact"/>
              <w:ind w:left="107"/>
              <w:rPr>
                <w:sz w:val="24"/>
              </w:rPr>
            </w:pPr>
            <w:r>
              <w:rPr>
                <w:sz w:val="24"/>
              </w:rPr>
              <w:t>Pupils should know</w:t>
            </w:r>
          </w:p>
          <w:p>
            <w:pPr>
              <w:pStyle w:val="TableParagraph"/>
              <w:numPr>
                <w:ilvl w:val="0"/>
                <w:numId w:val="42"/>
              </w:numPr>
              <w:tabs>
                <w:tab w:pos="467" w:val="left" w:leader="none"/>
                <w:tab w:pos="468" w:val="left" w:leader="none"/>
              </w:tabs>
              <w:spacing w:line="240" w:lineRule="auto" w:before="228" w:after="0"/>
              <w:ind w:left="467" w:right="212" w:hanging="360"/>
              <w:jc w:val="left"/>
              <w:rPr>
                <w:sz w:val="24"/>
              </w:rPr>
            </w:pPr>
            <w:r>
              <w:rPr>
                <w:sz w:val="24"/>
              </w:rPr>
              <w:t>the positive associations between physical activity and promotion of mental wellbeing, including as an approach to combat</w:t>
            </w:r>
            <w:r>
              <w:rPr>
                <w:spacing w:val="-20"/>
                <w:sz w:val="24"/>
              </w:rPr>
              <w:t> </w:t>
            </w:r>
            <w:r>
              <w:rPr>
                <w:sz w:val="24"/>
              </w:rPr>
              <w:t>stress.</w:t>
            </w:r>
          </w:p>
          <w:p>
            <w:pPr>
              <w:pStyle w:val="TableParagraph"/>
              <w:numPr>
                <w:ilvl w:val="0"/>
                <w:numId w:val="42"/>
              </w:numPr>
              <w:tabs>
                <w:tab w:pos="467" w:val="left" w:leader="none"/>
                <w:tab w:pos="468" w:val="left" w:leader="none"/>
              </w:tabs>
              <w:spacing w:line="242" w:lineRule="auto" w:before="110" w:after="0"/>
              <w:ind w:left="467" w:right="158" w:hanging="360"/>
              <w:jc w:val="left"/>
              <w:rPr>
                <w:sz w:val="24"/>
              </w:rPr>
            </w:pPr>
            <w:r>
              <w:rPr>
                <w:sz w:val="24"/>
              </w:rPr>
              <w:t>the characteristics and evidence of what constitutes a healthy lifestyle, maintaining a healthy weight, including the links between an inactive lifestyle and ill health, including cancer and cardio- vascular ill-health.</w:t>
            </w:r>
          </w:p>
          <w:p>
            <w:pPr>
              <w:pStyle w:val="TableParagraph"/>
              <w:numPr>
                <w:ilvl w:val="0"/>
                <w:numId w:val="42"/>
              </w:numPr>
              <w:tabs>
                <w:tab w:pos="467" w:val="left" w:leader="none"/>
                <w:tab w:pos="468" w:val="left" w:leader="none"/>
              </w:tabs>
              <w:spacing w:line="240" w:lineRule="auto" w:before="107" w:after="0"/>
              <w:ind w:left="467" w:right="0" w:hanging="361"/>
              <w:jc w:val="left"/>
              <w:rPr>
                <w:sz w:val="24"/>
              </w:rPr>
            </w:pPr>
            <w:r>
              <w:rPr>
                <w:sz w:val="24"/>
              </w:rPr>
              <w:t>about the science relating to blood, organ and stem cell</w:t>
            </w:r>
            <w:r>
              <w:rPr>
                <w:spacing w:val="-24"/>
                <w:sz w:val="24"/>
              </w:rPr>
              <w:t> </w:t>
            </w:r>
            <w:r>
              <w:rPr>
                <w:sz w:val="24"/>
              </w:rPr>
              <w:t>donation.</w:t>
            </w:r>
          </w:p>
        </w:tc>
      </w:tr>
      <w:tr>
        <w:trPr>
          <w:trHeight w:val="1251" w:hRule="atLeast"/>
        </w:trPr>
        <w:tc>
          <w:tcPr>
            <w:tcW w:w="1470" w:type="dxa"/>
          </w:tcPr>
          <w:p>
            <w:pPr>
              <w:pStyle w:val="TableParagraph"/>
              <w:spacing w:line="288" w:lineRule="auto"/>
              <w:ind w:left="107" w:right="466"/>
              <w:rPr>
                <w:b/>
                <w:sz w:val="24"/>
              </w:rPr>
            </w:pPr>
            <w:r>
              <w:rPr>
                <w:b/>
                <w:sz w:val="24"/>
              </w:rPr>
              <w:t>Healthy eating</w:t>
            </w:r>
          </w:p>
        </w:tc>
        <w:tc>
          <w:tcPr>
            <w:tcW w:w="7603" w:type="dxa"/>
          </w:tcPr>
          <w:p>
            <w:pPr>
              <w:pStyle w:val="TableParagraph"/>
              <w:spacing w:line="274" w:lineRule="exact"/>
              <w:ind w:left="107"/>
              <w:rPr>
                <w:sz w:val="24"/>
              </w:rPr>
            </w:pPr>
            <w:r>
              <w:rPr>
                <w:sz w:val="24"/>
              </w:rPr>
              <w:t>Pupils should know</w:t>
            </w:r>
          </w:p>
          <w:p>
            <w:pPr>
              <w:pStyle w:val="TableParagraph"/>
              <w:spacing w:before="4"/>
              <w:ind w:left="0"/>
              <w:rPr>
                <w:sz w:val="24"/>
              </w:rPr>
            </w:pPr>
          </w:p>
          <w:p>
            <w:pPr>
              <w:pStyle w:val="TableParagraph"/>
              <w:numPr>
                <w:ilvl w:val="0"/>
                <w:numId w:val="43"/>
              </w:numPr>
              <w:tabs>
                <w:tab w:pos="467" w:val="left" w:leader="none"/>
                <w:tab w:pos="468" w:val="left" w:leader="none"/>
              </w:tabs>
              <w:spacing w:line="242" w:lineRule="auto" w:before="0" w:after="0"/>
              <w:ind w:left="467" w:right="293" w:hanging="360"/>
              <w:jc w:val="left"/>
              <w:rPr>
                <w:sz w:val="24"/>
              </w:rPr>
            </w:pPr>
            <w:r>
              <w:rPr>
                <w:sz w:val="24"/>
              </w:rPr>
              <w:t>how to maintain healthy eating and the links between a poor</w:t>
            </w:r>
            <w:r>
              <w:rPr>
                <w:spacing w:val="-31"/>
                <w:sz w:val="24"/>
              </w:rPr>
              <w:t> </w:t>
            </w:r>
            <w:r>
              <w:rPr>
                <w:sz w:val="24"/>
              </w:rPr>
              <w:t>diet and health risks, including tooth decay and</w:t>
            </w:r>
            <w:r>
              <w:rPr>
                <w:spacing w:val="-5"/>
                <w:sz w:val="24"/>
              </w:rPr>
              <w:t> </w:t>
            </w:r>
            <w:r>
              <w:rPr>
                <w:sz w:val="24"/>
              </w:rPr>
              <w:t>cancer.</w:t>
            </w:r>
          </w:p>
        </w:tc>
      </w:tr>
      <w:tr>
        <w:trPr>
          <w:trHeight w:val="307" w:hRule="atLeast"/>
        </w:trPr>
        <w:tc>
          <w:tcPr>
            <w:tcW w:w="1470" w:type="dxa"/>
            <w:tcBorders>
              <w:bottom w:val="nil"/>
            </w:tcBorders>
          </w:tcPr>
          <w:p>
            <w:pPr>
              <w:pStyle w:val="TableParagraph"/>
              <w:spacing w:line="275" w:lineRule="exact"/>
              <w:ind w:left="107"/>
              <w:rPr>
                <w:b/>
                <w:sz w:val="24"/>
              </w:rPr>
            </w:pPr>
            <w:r>
              <w:rPr>
                <w:b/>
                <w:sz w:val="24"/>
              </w:rPr>
              <w:t>Drugs,</w:t>
            </w:r>
          </w:p>
        </w:tc>
        <w:tc>
          <w:tcPr>
            <w:tcW w:w="7603" w:type="dxa"/>
            <w:tcBorders>
              <w:bottom w:val="nil"/>
            </w:tcBorders>
          </w:tcPr>
          <w:p>
            <w:pPr>
              <w:pStyle w:val="TableParagraph"/>
              <w:spacing w:line="274" w:lineRule="exact"/>
              <w:ind w:left="107"/>
              <w:rPr>
                <w:sz w:val="24"/>
              </w:rPr>
            </w:pPr>
            <w:r>
              <w:rPr>
                <w:sz w:val="24"/>
              </w:rPr>
              <w:t>Pupils should know</w:t>
            </w:r>
          </w:p>
        </w:tc>
      </w:tr>
      <w:tr>
        <w:trPr>
          <w:trHeight w:val="1157" w:hRule="atLeast"/>
        </w:trPr>
        <w:tc>
          <w:tcPr>
            <w:tcW w:w="1470" w:type="dxa"/>
            <w:tcBorders>
              <w:top w:val="nil"/>
              <w:bottom w:val="nil"/>
            </w:tcBorders>
          </w:tcPr>
          <w:p>
            <w:pPr>
              <w:pStyle w:val="TableParagraph"/>
              <w:spacing w:line="288" w:lineRule="auto" w:before="23"/>
              <w:ind w:left="107" w:right="412"/>
              <w:rPr>
                <w:b/>
                <w:sz w:val="24"/>
              </w:rPr>
            </w:pPr>
            <w:r>
              <w:rPr>
                <w:b/>
                <w:sz w:val="24"/>
              </w:rPr>
              <w:t>alcohol and tobacco</w:t>
            </w:r>
          </w:p>
        </w:tc>
        <w:tc>
          <w:tcPr>
            <w:tcW w:w="7603" w:type="dxa"/>
            <w:tcBorders>
              <w:top w:val="nil"/>
              <w:bottom w:val="nil"/>
            </w:tcBorders>
          </w:tcPr>
          <w:p>
            <w:pPr>
              <w:pStyle w:val="TableParagraph"/>
              <w:numPr>
                <w:ilvl w:val="0"/>
                <w:numId w:val="44"/>
              </w:numPr>
              <w:tabs>
                <w:tab w:pos="467" w:val="left" w:leader="none"/>
                <w:tab w:pos="468" w:val="left" w:leader="none"/>
              </w:tabs>
              <w:spacing w:line="242" w:lineRule="auto" w:before="247" w:after="0"/>
              <w:ind w:left="467" w:right="318" w:hanging="360"/>
              <w:jc w:val="left"/>
              <w:rPr>
                <w:sz w:val="24"/>
              </w:rPr>
            </w:pPr>
            <w:r>
              <w:rPr>
                <w:sz w:val="24"/>
              </w:rPr>
              <w:t>the facts about legal and illegal drugs and their associated risks, including the link between drug use, and the associated risks, including the link to serious mental health</w:t>
            </w:r>
            <w:r>
              <w:rPr>
                <w:spacing w:val="-7"/>
                <w:sz w:val="24"/>
              </w:rPr>
              <w:t> </w:t>
            </w:r>
            <w:r>
              <w:rPr>
                <w:sz w:val="24"/>
              </w:rPr>
              <w:t>conditions.</w:t>
            </w:r>
          </w:p>
        </w:tc>
      </w:tr>
      <w:tr>
        <w:trPr>
          <w:trHeight w:val="680" w:hRule="atLeast"/>
        </w:trPr>
        <w:tc>
          <w:tcPr>
            <w:tcW w:w="1470" w:type="dxa"/>
            <w:tcBorders>
              <w:top w:val="nil"/>
              <w:bottom w:val="nil"/>
            </w:tcBorders>
          </w:tcPr>
          <w:p>
            <w:pPr>
              <w:pStyle w:val="TableParagraph"/>
              <w:ind w:left="0"/>
              <w:rPr>
                <w:rFonts w:ascii="Times New Roman"/>
                <w:sz w:val="24"/>
              </w:rPr>
            </w:pPr>
          </w:p>
        </w:tc>
        <w:tc>
          <w:tcPr>
            <w:tcW w:w="7603" w:type="dxa"/>
            <w:tcBorders>
              <w:top w:val="nil"/>
              <w:bottom w:val="nil"/>
            </w:tcBorders>
          </w:tcPr>
          <w:p>
            <w:pPr>
              <w:pStyle w:val="TableParagraph"/>
              <w:numPr>
                <w:ilvl w:val="0"/>
                <w:numId w:val="45"/>
              </w:numPr>
              <w:tabs>
                <w:tab w:pos="467" w:val="left" w:leader="none"/>
                <w:tab w:pos="468" w:val="left" w:leader="none"/>
              </w:tabs>
              <w:spacing w:line="242" w:lineRule="auto" w:before="49" w:after="0"/>
              <w:ind w:left="467" w:right="1399" w:hanging="360"/>
              <w:jc w:val="left"/>
              <w:rPr>
                <w:sz w:val="24"/>
              </w:rPr>
            </w:pPr>
            <w:r>
              <w:rPr>
                <w:sz w:val="24"/>
              </w:rPr>
              <w:t>the law relating to the supply and possession of illegal substances.</w:t>
            </w:r>
          </w:p>
        </w:tc>
      </w:tr>
      <w:tr>
        <w:trPr>
          <w:trHeight w:val="960" w:hRule="atLeast"/>
        </w:trPr>
        <w:tc>
          <w:tcPr>
            <w:tcW w:w="1470" w:type="dxa"/>
            <w:tcBorders>
              <w:top w:val="nil"/>
              <w:bottom w:val="nil"/>
            </w:tcBorders>
          </w:tcPr>
          <w:p>
            <w:pPr>
              <w:pStyle w:val="TableParagraph"/>
              <w:ind w:left="0"/>
              <w:rPr>
                <w:rFonts w:ascii="Times New Roman"/>
                <w:sz w:val="24"/>
              </w:rPr>
            </w:pPr>
          </w:p>
        </w:tc>
        <w:tc>
          <w:tcPr>
            <w:tcW w:w="7603" w:type="dxa"/>
            <w:tcBorders>
              <w:top w:val="nil"/>
              <w:bottom w:val="nil"/>
            </w:tcBorders>
          </w:tcPr>
          <w:p>
            <w:pPr>
              <w:pStyle w:val="TableParagraph"/>
              <w:numPr>
                <w:ilvl w:val="0"/>
                <w:numId w:val="46"/>
              </w:numPr>
              <w:tabs>
                <w:tab w:pos="467" w:val="left" w:leader="none"/>
                <w:tab w:pos="468" w:val="left" w:leader="none"/>
              </w:tabs>
              <w:spacing w:line="242" w:lineRule="auto" w:before="49" w:after="0"/>
              <w:ind w:left="467" w:right="134" w:hanging="360"/>
              <w:jc w:val="left"/>
              <w:rPr>
                <w:sz w:val="24"/>
              </w:rPr>
            </w:pPr>
            <w:r>
              <w:rPr>
                <w:sz w:val="24"/>
              </w:rPr>
              <w:t>the physical and psychological risks associated with alcohol consumption and what constitutes low risk alcohol consumption</w:t>
            </w:r>
            <w:r>
              <w:rPr>
                <w:spacing w:val="-29"/>
                <w:sz w:val="24"/>
              </w:rPr>
              <w:t> </w:t>
            </w:r>
            <w:r>
              <w:rPr>
                <w:sz w:val="24"/>
              </w:rPr>
              <w:t>in adulthood.</w:t>
            </w:r>
          </w:p>
        </w:tc>
      </w:tr>
      <w:tr>
        <w:trPr>
          <w:trHeight w:val="679" w:hRule="atLeast"/>
        </w:trPr>
        <w:tc>
          <w:tcPr>
            <w:tcW w:w="1470" w:type="dxa"/>
            <w:tcBorders>
              <w:top w:val="nil"/>
              <w:bottom w:val="nil"/>
            </w:tcBorders>
          </w:tcPr>
          <w:p>
            <w:pPr>
              <w:pStyle w:val="TableParagraph"/>
              <w:ind w:left="0"/>
              <w:rPr>
                <w:rFonts w:ascii="Times New Roman"/>
                <w:sz w:val="24"/>
              </w:rPr>
            </w:pPr>
          </w:p>
        </w:tc>
        <w:tc>
          <w:tcPr>
            <w:tcW w:w="7603" w:type="dxa"/>
            <w:tcBorders>
              <w:top w:val="nil"/>
              <w:bottom w:val="nil"/>
            </w:tcBorders>
          </w:tcPr>
          <w:p>
            <w:pPr>
              <w:pStyle w:val="TableParagraph"/>
              <w:numPr>
                <w:ilvl w:val="0"/>
                <w:numId w:val="47"/>
              </w:numPr>
              <w:tabs>
                <w:tab w:pos="467" w:val="left" w:leader="none"/>
                <w:tab w:pos="468" w:val="left" w:leader="none"/>
              </w:tabs>
              <w:spacing w:line="240" w:lineRule="auto" w:before="49" w:after="0"/>
              <w:ind w:left="467" w:right="905" w:hanging="360"/>
              <w:jc w:val="left"/>
              <w:rPr>
                <w:sz w:val="24"/>
              </w:rPr>
            </w:pPr>
            <w:r>
              <w:rPr>
                <w:sz w:val="24"/>
              </w:rPr>
              <w:t>the physical and psychological consequences of addiction, including alcohol</w:t>
            </w:r>
            <w:r>
              <w:rPr>
                <w:spacing w:val="-1"/>
                <w:sz w:val="24"/>
              </w:rPr>
              <w:t> </w:t>
            </w:r>
            <w:r>
              <w:rPr>
                <w:sz w:val="24"/>
              </w:rPr>
              <w:t>dependency.</w:t>
            </w:r>
          </w:p>
        </w:tc>
      </w:tr>
      <w:tr>
        <w:trPr>
          <w:trHeight w:val="679" w:hRule="atLeast"/>
        </w:trPr>
        <w:tc>
          <w:tcPr>
            <w:tcW w:w="1470" w:type="dxa"/>
            <w:tcBorders>
              <w:top w:val="nil"/>
              <w:bottom w:val="nil"/>
            </w:tcBorders>
          </w:tcPr>
          <w:p>
            <w:pPr>
              <w:pStyle w:val="TableParagraph"/>
              <w:ind w:left="0"/>
              <w:rPr>
                <w:rFonts w:ascii="Times New Roman"/>
                <w:sz w:val="24"/>
              </w:rPr>
            </w:pPr>
          </w:p>
        </w:tc>
        <w:tc>
          <w:tcPr>
            <w:tcW w:w="7603" w:type="dxa"/>
            <w:tcBorders>
              <w:top w:val="nil"/>
              <w:bottom w:val="nil"/>
            </w:tcBorders>
          </w:tcPr>
          <w:p>
            <w:pPr>
              <w:pStyle w:val="TableParagraph"/>
              <w:numPr>
                <w:ilvl w:val="0"/>
                <w:numId w:val="48"/>
              </w:numPr>
              <w:tabs>
                <w:tab w:pos="467" w:val="left" w:leader="none"/>
                <w:tab w:pos="468" w:val="left" w:leader="none"/>
              </w:tabs>
              <w:spacing w:line="240" w:lineRule="auto" w:before="49" w:after="0"/>
              <w:ind w:left="467" w:right="333" w:hanging="360"/>
              <w:jc w:val="left"/>
              <w:rPr>
                <w:sz w:val="24"/>
              </w:rPr>
            </w:pPr>
            <w:r>
              <w:rPr>
                <w:sz w:val="24"/>
              </w:rPr>
              <w:t>awareness of the dangers of drugs which are prescribed but still present serious health risks.</w:t>
            </w:r>
          </w:p>
        </w:tc>
      </w:tr>
      <w:tr>
        <w:trPr>
          <w:trHeight w:val="1025" w:hRule="atLeast"/>
        </w:trPr>
        <w:tc>
          <w:tcPr>
            <w:tcW w:w="1470" w:type="dxa"/>
            <w:tcBorders>
              <w:top w:val="nil"/>
            </w:tcBorders>
          </w:tcPr>
          <w:p>
            <w:pPr>
              <w:pStyle w:val="TableParagraph"/>
              <w:ind w:left="0"/>
              <w:rPr>
                <w:rFonts w:ascii="Times New Roman"/>
                <w:sz w:val="24"/>
              </w:rPr>
            </w:pPr>
          </w:p>
        </w:tc>
        <w:tc>
          <w:tcPr>
            <w:tcW w:w="7603" w:type="dxa"/>
            <w:tcBorders>
              <w:top w:val="nil"/>
            </w:tcBorders>
          </w:tcPr>
          <w:p>
            <w:pPr>
              <w:pStyle w:val="TableParagraph"/>
              <w:numPr>
                <w:ilvl w:val="0"/>
                <w:numId w:val="49"/>
              </w:numPr>
              <w:tabs>
                <w:tab w:pos="467" w:val="left" w:leader="none"/>
                <w:tab w:pos="468" w:val="left" w:leader="none"/>
              </w:tabs>
              <w:spacing w:line="242" w:lineRule="auto" w:before="49" w:after="0"/>
              <w:ind w:left="467" w:right="293" w:hanging="360"/>
              <w:jc w:val="left"/>
              <w:rPr>
                <w:sz w:val="24"/>
              </w:rPr>
            </w:pPr>
            <w:r>
              <w:rPr>
                <w:sz w:val="24"/>
              </w:rPr>
              <w:t>the facts about the harms from smoking tobacco (particularly the link to lung cancer), the benefits of quitting and how to access support to do</w:t>
            </w:r>
            <w:r>
              <w:rPr>
                <w:spacing w:val="-1"/>
                <w:sz w:val="24"/>
              </w:rPr>
              <w:t> </w:t>
            </w:r>
            <w:r>
              <w:rPr>
                <w:sz w:val="24"/>
              </w:rPr>
              <w:t>so.</w:t>
            </w:r>
          </w:p>
        </w:tc>
      </w:tr>
      <w:tr>
        <w:trPr>
          <w:trHeight w:val="308" w:hRule="atLeast"/>
        </w:trPr>
        <w:tc>
          <w:tcPr>
            <w:tcW w:w="1470" w:type="dxa"/>
            <w:tcBorders>
              <w:bottom w:val="nil"/>
            </w:tcBorders>
          </w:tcPr>
          <w:p>
            <w:pPr>
              <w:pStyle w:val="TableParagraph"/>
              <w:ind w:left="107"/>
              <w:rPr>
                <w:b/>
                <w:sz w:val="24"/>
              </w:rPr>
            </w:pPr>
            <w:r>
              <w:rPr>
                <w:b/>
                <w:sz w:val="24"/>
              </w:rPr>
              <w:t>Health and</w:t>
            </w:r>
          </w:p>
        </w:tc>
        <w:tc>
          <w:tcPr>
            <w:tcW w:w="7603" w:type="dxa"/>
            <w:tcBorders>
              <w:bottom w:val="nil"/>
            </w:tcBorders>
          </w:tcPr>
          <w:p>
            <w:pPr>
              <w:pStyle w:val="TableParagraph"/>
              <w:spacing w:line="275" w:lineRule="exact"/>
              <w:ind w:left="107"/>
              <w:rPr>
                <w:sz w:val="24"/>
              </w:rPr>
            </w:pPr>
            <w:r>
              <w:rPr>
                <w:sz w:val="24"/>
              </w:rPr>
              <w:t>Pupils should know</w:t>
            </w:r>
          </w:p>
        </w:tc>
      </w:tr>
      <w:tr>
        <w:trPr>
          <w:trHeight w:val="1157" w:hRule="atLeast"/>
        </w:trPr>
        <w:tc>
          <w:tcPr>
            <w:tcW w:w="1470" w:type="dxa"/>
            <w:tcBorders>
              <w:top w:val="nil"/>
              <w:bottom w:val="nil"/>
            </w:tcBorders>
          </w:tcPr>
          <w:p>
            <w:pPr>
              <w:pStyle w:val="TableParagraph"/>
              <w:spacing w:before="23"/>
              <w:ind w:left="107"/>
              <w:rPr>
                <w:b/>
                <w:sz w:val="24"/>
              </w:rPr>
            </w:pPr>
            <w:r>
              <w:rPr>
                <w:b/>
                <w:sz w:val="24"/>
              </w:rPr>
              <w:t>prevention</w:t>
            </w:r>
          </w:p>
        </w:tc>
        <w:tc>
          <w:tcPr>
            <w:tcW w:w="7603" w:type="dxa"/>
            <w:tcBorders>
              <w:top w:val="nil"/>
              <w:bottom w:val="nil"/>
            </w:tcBorders>
          </w:tcPr>
          <w:p>
            <w:pPr>
              <w:pStyle w:val="TableParagraph"/>
              <w:numPr>
                <w:ilvl w:val="0"/>
                <w:numId w:val="50"/>
              </w:numPr>
              <w:tabs>
                <w:tab w:pos="467" w:val="left" w:leader="none"/>
                <w:tab w:pos="468" w:val="left" w:leader="none"/>
              </w:tabs>
              <w:spacing w:line="242" w:lineRule="auto" w:before="247" w:after="0"/>
              <w:ind w:left="467" w:right="226" w:hanging="360"/>
              <w:jc w:val="left"/>
              <w:rPr>
                <w:sz w:val="24"/>
              </w:rPr>
            </w:pPr>
            <w:r>
              <w:rPr>
                <w:sz w:val="24"/>
              </w:rPr>
              <w:t>about personal hygiene, germs including bacteria, viruses, how they are spread, treatment and prevention of infection, and about antibiotics.</w:t>
            </w:r>
          </w:p>
        </w:tc>
      </w:tr>
      <w:tr>
        <w:trPr>
          <w:trHeight w:val="960" w:hRule="atLeast"/>
        </w:trPr>
        <w:tc>
          <w:tcPr>
            <w:tcW w:w="1470" w:type="dxa"/>
            <w:tcBorders>
              <w:top w:val="nil"/>
              <w:bottom w:val="nil"/>
            </w:tcBorders>
          </w:tcPr>
          <w:p>
            <w:pPr>
              <w:pStyle w:val="TableParagraph"/>
              <w:ind w:left="0"/>
              <w:rPr>
                <w:rFonts w:ascii="Times New Roman"/>
                <w:sz w:val="24"/>
              </w:rPr>
            </w:pPr>
          </w:p>
        </w:tc>
        <w:tc>
          <w:tcPr>
            <w:tcW w:w="7603" w:type="dxa"/>
            <w:tcBorders>
              <w:top w:val="nil"/>
              <w:bottom w:val="nil"/>
            </w:tcBorders>
          </w:tcPr>
          <w:p>
            <w:pPr>
              <w:pStyle w:val="TableParagraph"/>
              <w:numPr>
                <w:ilvl w:val="0"/>
                <w:numId w:val="51"/>
              </w:numPr>
              <w:tabs>
                <w:tab w:pos="467" w:val="left" w:leader="none"/>
                <w:tab w:pos="468" w:val="left" w:leader="none"/>
              </w:tabs>
              <w:spacing w:line="242" w:lineRule="auto" w:before="49" w:after="0"/>
              <w:ind w:left="467" w:right="238" w:hanging="360"/>
              <w:jc w:val="left"/>
              <w:rPr>
                <w:sz w:val="24"/>
              </w:rPr>
            </w:pPr>
            <w:r>
              <w:rPr>
                <w:sz w:val="24"/>
              </w:rPr>
              <w:t>about dental health and the benefits of good oral hygiene and dental flossing, including healthy eating and regular check-ups at the</w:t>
            </w:r>
            <w:r>
              <w:rPr>
                <w:spacing w:val="-1"/>
                <w:sz w:val="24"/>
              </w:rPr>
              <w:t> </w:t>
            </w:r>
            <w:r>
              <w:rPr>
                <w:sz w:val="24"/>
              </w:rPr>
              <w:t>dentist.</w:t>
            </w:r>
          </w:p>
        </w:tc>
      </w:tr>
      <w:tr>
        <w:trPr>
          <w:trHeight w:val="746" w:hRule="atLeast"/>
        </w:trPr>
        <w:tc>
          <w:tcPr>
            <w:tcW w:w="1470" w:type="dxa"/>
            <w:tcBorders>
              <w:top w:val="nil"/>
            </w:tcBorders>
          </w:tcPr>
          <w:p>
            <w:pPr>
              <w:pStyle w:val="TableParagraph"/>
              <w:ind w:left="0"/>
              <w:rPr>
                <w:rFonts w:ascii="Times New Roman"/>
                <w:sz w:val="24"/>
              </w:rPr>
            </w:pPr>
          </w:p>
        </w:tc>
        <w:tc>
          <w:tcPr>
            <w:tcW w:w="7603" w:type="dxa"/>
            <w:tcBorders>
              <w:top w:val="nil"/>
            </w:tcBorders>
          </w:tcPr>
          <w:p>
            <w:pPr>
              <w:pStyle w:val="TableParagraph"/>
              <w:numPr>
                <w:ilvl w:val="0"/>
                <w:numId w:val="52"/>
              </w:numPr>
              <w:tabs>
                <w:tab w:pos="467" w:val="left" w:leader="none"/>
                <w:tab w:pos="468" w:val="left" w:leader="none"/>
              </w:tabs>
              <w:spacing w:line="240" w:lineRule="auto" w:before="49" w:after="0"/>
              <w:ind w:left="467" w:right="734" w:hanging="360"/>
              <w:jc w:val="left"/>
              <w:rPr>
                <w:sz w:val="24"/>
              </w:rPr>
            </w:pPr>
            <w:r>
              <w:rPr>
                <w:sz w:val="24"/>
              </w:rPr>
              <w:t>(late secondary) the benefits of regular self-examination</w:t>
            </w:r>
            <w:r>
              <w:rPr>
                <w:spacing w:val="-30"/>
                <w:sz w:val="24"/>
              </w:rPr>
              <w:t> </w:t>
            </w:r>
            <w:r>
              <w:rPr>
                <w:sz w:val="24"/>
              </w:rPr>
              <w:t>and screening.</w:t>
            </w:r>
          </w:p>
        </w:tc>
      </w:tr>
    </w:tbl>
    <w:p>
      <w:pPr>
        <w:spacing w:after="0" w:line="240" w:lineRule="auto"/>
        <w:jc w:val="left"/>
        <w:rPr>
          <w:sz w:val="24"/>
        </w:rPr>
        <w:sectPr>
          <w:pgSz w:w="11910" w:h="16840"/>
          <w:pgMar w:header="708" w:footer="783" w:top="980" w:bottom="980" w:left="1020" w:right="760"/>
        </w:sectPr>
      </w:pPr>
    </w:p>
    <w:p>
      <w:pPr>
        <w:pStyle w:val="BodyText"/>
        <w:spacing w:before="2"/>
        <w:rPr>
          <w:sz w:val="12"/>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7603"/>
      </w:tblGrid>
      <w:tr>
        <w:trPr>
          <w:trHeight w:val="1079" w:hRule="atLeast"/>
        </w:trPr>
        <w:tc>
          <w:tcPr>
            <w:tcW w:w="1470" w:type="dxa"/>
          </w:tcPr>
          <w:p>
            <w:pPr>
              <w:pStyle w:val="TableParagraph"/>
              <w:ind w:left="0"/>
              <w:rPr>
                <w:rFonts w:ascii="Times New Roman"/>
                <w:sz w:val="22"/>
              </w:rPr>
            </w:pPr>
          </w:p>
        </w:tc>
        <w:tc>
          <w:tcPr>
            <w:tcW w:w="7603" w:type="dxa"/>
          </w:tcPr>
          <w:p>
            <w:pPr>
              <w:pStyle w:val="TableParagraph"/>
              <w:numPr>
                <w:ilvl w:val="0"/>
                <w:numId w:val="53"/>
              </w:numPr>
              <w:tabs>
                <w:tab w:pos="467" w:val="left" w:leader="none"/>
                <w:tab w:pos="468" w:val="left" w:leader="none"/>
              </w:tabs>
              <w:spacing w:line="277" w:lineRule="exact" w:before="0" w:after="0"/>
              <w:ind w:left="467" w:right="0" w:hanging="361"/>
              <w:jc w:val="left"/>
              <w:rPr>
                <w:sz w:val="24"/>
              </w:rPr>
            </w:pPr>
            <w:r>
              <w:rPr>
                <w:sz w:val="24"/>
              </w:rPr>
              <w:t>the facts and science relating to immunisation and</w:t>
            </w:r>
            <w:r>
              <w:rPr>
                <w:spacing w:val="-15"/>
                <w:sz w:val="24"/>
              </w:rPr>
              <w:t> </w:t>
            </w:r>
            <w:r>
              <w:rPr>
                <w:sz w:val="24"/>
              </w:rPr>
              <w:t>vaccination.</w:t>
            </w:r>
          </w:p>
          <w:p>
            <w:pPr>
              <w:pStyle w:val="TableParagraph"/>
              <w:numPr>
                <w:ilvl w:val="0"/>
                <w:numId w:val="53"/>
              </w:numPr>
              <w:tabs>
                <w:tab w:pos="467" w:val="left" w:leader="none"/>
                <w:tab w:pos="468" w:val="left" w:leader="none"/>
              </w:tabs>
              <w:spacing w:line="240" w:lineRule="auto" w:before="106" w:after="0"/>
              <w:ind w:left="467" w:right="121" w:hanging="360"/>
              <w:jc w:val="left"/>
              <w:rPr>
                <w:sz w:val="24"/>
              </w:rPr>
            </w:pPr>
            <w:r>
              <w:rPr>
                <w:sz w:val="24"/>
              </w:rPr>
              <w:t>the importance of sufficient good quality sleep for good health</w:t>
            </w:r>
            <w:r>
              <w:rPr>
                <w:spacing w:val="-33"/>
                <w:sz w:val="24"/>
              </w:rPr>
              <w:t> </w:t>
            </w:r>
            <w:r>
              <w:rPr>
                <w:sz w:val="24"/>
              </w:rPr>
              <w:t>and how a lack of sleep can affect weight, mood and ability to</w:t>
            </w:r>
            <w:r>
              <w:rPr>
                <w:spacing w:val="-21"/>
                <w:sz w:val="24"/>
              </w:rPr>
              <w:t> </w:t>
            </w:r>
            <w:r>
              <w:rPr>
                <w:sz w:val="24"/>
              </w:rPr>
              <w:t>learn.</w:t>
            </w:r>
          </w:p>
        </w:tc>
      </w:tr>
      <w:tr>
        <w:trPr>
          <w:trHeight w:val="1772" w:hRule="atLeast"/>
        </w:trPr>
        <w:tc>
          <w:tcPr>
            <w:tcW w:w="1470" w:type="dxa"/>
          </w:tcPr>
          <w:p>
            <w:pPr>
              <w:pStyle w:val="TableParagraph"/>
              <w:spacing w:line="288" w:lineRule="auto"/>
              <w:ind w:left="107" w:right="172"/>
              <w:rPr>
                <w:b/>
                <w:sz w:val="24"/>
              </w:rPr>
            </w:pPr>
            <w:r>
              <w:rPr>
                <w:b/>
                <w:sz w:val="24"/>
              </w:rPr>
              <w:t>Basic first aid</w:t>
            </w:r>
          </w:p>
        </w:tc>
        <w:tc>
          <w:tcPr>
            <w:tcW w:w="7603" w:type="dxa"/>
          </w:tcPr>
          <w:p>
            <w:pPr>
              <w:pStyle w:val="TableParagraph"/>
              <w:spacing w:line="275" w:lineRule="exact"/>
              <w:ind w:left="107"/>
              <w:rPr>
                <w:sz w:val="24"/>
              </w:rPr>
            </w:pPr>
            <w:r>
              <w:rPr>
                <w:sz w:val="24"/>
              </w:rPr>
              <w:t>Pupils should know</w:t>
            </w:r>
          </w:p>
          <w:p>
            <w:pPr>
              <w:pStyle w:val="TableParagraph"/>
              <w:spacing w:before="4"/>
              <w:ind w:left="0"/>
              <w:rPr>
                <w:sz w:val="24"/>
              </w:rPr>
            </w:pPr>
          </w:p>
          <w:p>
            <w:pPr>
              <w:pStyle w:val="TableParagraph"/>
              <w:numPr>
                <w:ilvl w:val="0"/>
                <w:numId w:val="54"/>
              </w:numPr>
              <w:tabs>
                <w:tab w:pos="467" w:val="left" w:leader="none"/>
                <w:tab w:pos="468" w:val="left" w:leader="none"/>
              </w:tabs>
              <w:spacing w:line="240" w:lineRule="auto" w:before="0" w:after="0"/>
              <w:ind w:left="467" w:right="0" w:hanging="361"/>
              <w:jc w:val="left"/>
              <w:rPr>
                <w:sz w:val="24"/>
              </w:rPr>
            </w:pPr>
            <w:r>
              <w:rPr>
                <w:sz w:val="24"/>
              </w:rPr>
              <w:t>basic treatment for common</w:t>
            </w:r>
            <w:r>
              <w:rPr>
                <w:spacing w:val="-2"/>
                <w:sz w:val="24"/>
              </w:rPr>
              <w:t> </w:t>
            </w:r>
            <w:r>
              <w:rPr>
                <w:sz w:val="24"/>
              </w:rPr>
              <w:t>injuries.</w:t>
            </w:r>
          </w:p>
          <w:p>
            <w:pPr>
              <w:pStyle w:val="TableParagraph"/>
              <w:numPr>
                <w:ilvl w:val="0"/>
                <w:numId w:val="54"/>
              </w:numPr>
              <w:tabs>
                <w:tab w:pos="467" w:val="left" w:leader="none"/>
                <w:tab w:pos="468" w:val="left" w:leader="none"/>
              </w:tabs>
              <w:spacing w:line="240" w:lineRule="auto" w:before="106" w:after="0"/>
              <w:ind w:left="467" w:right="0" w:hanging="361"/>
              <w:jc w:val="left"/>
              <w:rPr>
                <w:sz w:val="16"/>
              </w:rPr>
            </w:pPr>
            <w:r>
              <w:rPr>
                <w:sz w:val="24"/>
              </w:rPr>
              <w:t>life-saving skills, including how to administer</w:t>
            </w:r>
            <w:r>
              <w:rPr>
                <w:spacing w:val="-3"/>
                <w:sz w:val="24"/>
              </w:rPr>
              <w:t> </w:t>
            </w:r>
            <w:r>
              <w:rPr>
                <w:sz w:val="24"/>
              </w:rPr>
              <w:t>CPR.</w:t>
            </w:r>
            <w:r>
              <w:rPr>
                <w:position w:val="8"/>
                <w:sz w:val="16"/>
              </w:rPr>
              <w:t>15</w:t>
            </w:r>
          </w:p>
          <w:p>
            <w:pPr>
              <w:pStyle w:val="TableParagraph"/>
              <w:numPr>
                <w:ilvl w:val="0"/>
                <w:numId w:val="54"/>
              </w:numPr>
              <w:tabs>
                <w:tab w:pos="467" w:val="left" w:leader="none"/>
                <w:tab w:pos="468" w:val="left" w:leader="none"/>
              </w:tabs>
              <w:spacing w:line="240" w:lineRule="auto" w:before="105" w:after="0"/>
              <w:ind w:left="467" w:right="0" w:hanging="361"/>
              <w:jc w:val="left"/>
              <w:rPr>
                <w:sz w:val="24"/>
              </w:rPr>
            </w:pPr>
            <w:r>
              <w:rPr>
                <w:sz w:val="24"/>
              </w:rPr>
              <w:t>the purpose of defibrillators and when one might be</w:t>
            </w:r>
            <w:r>
              <w:rPr>
                <w:spacing w:val="-13"/>
                <w:sz w:val="24"/>
              </w:rPr>
              <w:t> </w:t>
            </w:r>
            <w:r>
              <w:rPr>
                <w:sz w:val="24"/>
              </w:rPr>
              <w:t>needed.</w:t>
            </w:r>
          </w:p>
        </w:tc>
      </w:tr>
      <w:tr>
        <w:trPr>
          <w:trHeight w:val="1931" w:hRule="atLeast"/>
        </w:trPr>
        <w:tc>
          <w:tcPr>
            <w:tcW w:w="1470" w:type="dxa"/>
          </w:tcPr>
          <w:p>
            <w:pPr>
              <w:pStyle w:val="TableParagraph"/>
              <w:spacing w:line="288" w:lineRule="auto"/>
              <w:ind w:left="107" w:right="79"/>
              <w:rPr>
                <w:b/>
                <w:sz w:val="24"/>
              </w:rPr>
            </w:pPr>
            <w:r>
              <w:rPr>
                <w:b/>
                <w:sz w:val="24"/>
              </w:rPr>
              <w:t>Changing adolescent body</w:t>
            </w:r>
          </w:p>
        </w:tc>
        <w:tc>
          <w:tcPr>
            <w:tcW w:w="7603" w:type="dxa"/>
          </w:tcPr>
          <w:p>
            <w:pPr>
              <w:pStyle w:val="TableParagraph"/>
              <w:spacing w:line="274" w:lineRule="exact"/>
              <w:ind w:left="107"/>
              <w:rPr>
                <w:sz w:val="24"/>
              </w:rPr>
            </w:pPr>
            <w:r>
              <w:rPr>
                <w:sz w:val="24"/>
              </w:rPr>
              <w:t>Pupils should know</w:t>
            </w:r>
          </w:p>
          <w:p>
            <w:pPr>
              <w:pStyle w:val="TableParagraph"/>
              <w:spacing w:before="4"/>
              <w:ind w:left="0"/>
              <w:rPr>
                <w:sz w:val="24"/>
              </w:rPr>
            </w:pPr>
          </w:p>
          <w:p>
            <w:pPr>
              <w:pStyle w:val="TableParagraph"/>
              <w:numPr>
                <w:ilvl w:val="0"/>
                <w:numId w:val="55"/>
              </w:numPr>
              <w:tabs>
                <w:tab w:pos="467" w:val="left" w:leader="none"/>
                <w:tab w:pos="468" w:val="left" w:leader="none"/>
              </w:tabs>
              <w:spacing w:line="240" w:lineRule="auto" w:before="0" w:after="0"/>
              <w:ind w:left="467" w:right="853" w:hanging="360"/>
              <w:jc w:val="left"/>
              <w:rPr>
                <w:sz w:val="24"/>
              </w:rPr>
            </w:pPr>
            <w:r>
              <w:rPr>
                <w:sz w:val="24"/>
              </w:rPr>
              <w:t>key facts about puberty, the changing adolescent body</w:t>
            </w:r>
            <w:r>
              <w:rPr>
                <w:spacing w:val="-27"/>
                <w:sz w:val="24"/>
              </w:rPr>
              <w:t> </w:t>
            </w:r>
            <w:r>
              <w:rPr>
                <w:sz w:val="24"/>
              </w:rPr>
              <w:t>and menstrual</w:t>
            </w:r>
            <w:r>
              <w:rPr>
                <w:spacing w:val="-1"/>
                <w:sz w:val="24"/>
              </w:rPr>
              <w:t> </w:t>
            </w:r>
            <w:r>
              <w:rPr>
                <w:sz w:val="24"/>
              </w:rPr>
              <w:t>wellbeing.</w:t>
            </w:r>
          </w:p>
          <w:p>
            <w:pPr>
              <w:pStyle w:val="TableParagraph"/>
              <w:numPr>
                <w:ilvl w:val="0"/>
                <w:numId w:val="55"/>
              </w:numPr>
              <w:tabs>
                <w:tab w:pos="467" w:val="left" w:leader="none"/>
                <w:tab w:pos="468" w:val="left" w:leader="none"/>
              </w:tabs>
              <w:spacing w:line="240" w:lineRule="auto" w:before="110" w:after="0"/>
              <w:ind w:left="467" w:right="118" w:hanging="360"/>
              <w:jc w:val="left"/>
              <w:rPr>
                <w:sz w:val="24"/>
              </w:rPr>
            </w:pPr>
            <w:r>
              <w:rPr>
                <w:sz w:val="24"/>
              </w:rPr>
              <w:t>the main changes which take place in males and females, and the implications for emotional and physical</w:t>
            </w:r>
            <w:r>
              <w:rPr>
                <w:spacing w:val="-3"/>
                <w:sz w:val="24"/>
              </w:rPr>
              <w:t> </w:t>
            </w:r>
            <w:r>
              <w:rPr>
                <w:sz w:val="24"/>
              </w:rPr>
              <w:t>health.</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pict>
          <v:shape style="position:absolute;margin-left:56.700001pt;margin-top:18.97711pt;width:144pt;height:.1pt;mso-position-horizontal-relative:page;mso-position-vertical-relative:paragraph;z-index:-251642880;mso-wrap-distance-left:0;mso-wrap-distance-right:0" coordorigin="1134,380" coordsize="2880,0" path="m1134,380l4014,380e" filled="false" stroked="true" strokeweight=".6pt" strokecolor="#000000">
            <v:path arrowok="t"/>
            <v:stroke dashstyle="solid"/>
            <w10:wrap type="topAndBottom"/>
          </v:shape>
        </w:pict>
      </w:r>
    </w:p>
    <w:p>
      <w:pPr>
        <w:pStyle w:val="BodyText"/>
        <w:spacing w:before="7"/>
        <w:rPr>
          <w:sz w:val="16"/>
        </w:rPr>
      </w:pPr>
    </w:p>
    <w:p>
      <w:pPr>
        <w:spacing w:before="98"/>
        <w:ind w:left="114" w:right="0" w:firstLine="0"/>
        <w:jc w:val="left"/>
        <w:rPr>
          <w:sz w:val="18"/>
        </w:rPr>
      </w:pPr>
      <w:r>
        <w:rPr>
          <w:position w:val="6"/>
          <w:sz w:val="12"/>
        </w:rPr>
        <w:t>15 </w:t>
      </w:r>
      <w:r>
        <w:rPr>
          <w:sz w:val="18"/>
        </w:rPr>
        <w:t>Cardio Pulmonary Resuscitation is usually best taught after 12 years old.</w:t>
      </w:r>
    </w:p>
    <w:p>
      <w:pPr>
        <w:spacing w:after="0"/>
        <w:jc w:val="left"/>
        <w:rPr>
          <w:sz w:val="18"/>
        </w:rPr>
        <w:sectPr>
          <w:pgSz w:w="11910" w:h="16840"/>
          <w:pgMar w:header="708" w:footer="783" w:top="980" w:bottom="980" w:left="1020" w:right="760"/>
        </w:sectPr>
      </w:pPr>
    </w:p>
    <w:p>
      <w:pPr>
        <w:pStyle w:val="Heading1"/>
      </w:pPr>
      <w:bookmarkStart w:name="Delivery and teaching strategies" w:id="70"/>
      <w:bookmarkEnd w:id="70"/>
      <w:r>
        <w:rPr>
          <w:b w:val="0"/>
        </w:rPr>
      </w:r>
      <w:bookmarkStart w:name="_bookmark38" w:id="71"/>
      <w:bookmarkEnd w:id="71"/>
      <w:r>
        <w:rPr>
          <w:b w:val="0"/>
        </w:rPr>
      </w:r>
      <w:r>
        <w:rPr>
          <w:color w:val="02466C"/>
        </w:rPr>
        <w:t>Delivery and teaching strategies</w:t>
      </w:r>
    </w:p>
    <w:p>
      <w:pPr>
        <w:pStyle w:val="BodyText"/>
        <w:spacing w:before="8"/>
        <w:rPr>
          <w:b/>
          <w:sz w:val="41"/>
        </w:rPr>
      </w:pPr>
    </w:p>
    <w:p>
      <w:pPr>
        <w:pStyle w:val="Heading2"/>
        <w:ind w:right="589"/>
      </w:pPr>
      <w:bookmarkStart w:name="National curriculum subjects: citizenshi" w:id="72"/>
      <w:bookmarkEnd w:id="72"/>
      <w:r>
        <w:rPr>
          <w:b w:val="0"/>
        </w:rPr>
      </w:r>
      <w:bookmarkStart w:name="_bookmark39" w:id="73"/>
      <w:bookmarkEnd w:id="73"/>
      <w:r>
        <w:rPr>
          <w:b w:val="0"/>
        </w:rPr>
      </w:r>
      <w:r>
        <w:rPr>
          <w:color w:val="02466C"/>
        </w:rPr>
        <w:t>National curriculum subjects: citizenship, science, computing and PE</w:t>
      </w:r>
    </w:p>
    <w:p>
      <w:pPr>
        <w:pStyle w:val="ListParagraph"/>
        <w:numPr>
          <w:ilvl w:val="0"/>
          <w:numId w:val="23"/>
        </w:numPr>
        <w:tabs>
          <w:tab w:pos="833" w:val="left" w:leader="none"/>
          <w:tab w:pos="834" w:val="left" w:leader="none"/>
        </w:tabs>
        <w:spacing w:line="288" w:lineRule="auto" w:before="237" w:after="0"/>
        <w:ind w:left="113" w:right="605" w:firstLine="0"/>
        <w:jc w:val="left"/>
        <w:rPr>
          <w:sz w:val="24"/>
        </w:rPr>
      </w:pPr>
      <w:r>
        <w:rPr>
          <w:sz w:val="24"/>
        </w:rPr>
        <w:t>Relationships Education, RSE and Health Education complement several national curriculum subjects. Where schools are teaching the national curriculum, they should look for opportunities to draw links between the subjects and integrate teaching where appropriate. There continues to be no right of withdrawal from any part of the national curriculum.</w:t>
      </w:r>
    </w:p>
    <w:p>
      <w:pPr>
        <w:pStyle w:val="ListParagraph"/>
        <w:numPr>
          <w:ilvl w:val="0"/>
          <w:numId w:val="23"/>
        </w:numPr>
        <w:tabs>
          <w:tab w:pos="833" w:val="left" w:leader="none"/>
          <w:tab w:pos="834" w:val="left" w:leader="none"/>
        </w:tabs>
        <w:spacing w:line="288" w:lineRule="auto" w:before="241" w:after="0"/>
        <w:ind w:left="113" w:right="527" w:firstLine="0"/>
        <w:jc w:val="left"/>
        <w:rPr>
          <w:sz w:val="24"/>
        </w:rPr>
      </w:pPr>
      <w:r>
        <w:rPr>
          <w:sz w:val="24"/>
        </w:rPr>
        <w:t>The national curriculum for citizenship at key stages 3 and 4 aims to provide pupils with knowledge, skills and understanding to prepare them to play a full and active part in society. In particular, citizenship education should foster pupils’ awareness and understanding of democracy, government and how laws are made and upheld. Teaching should equip pupils with the knowledge to explore political and social issues, to weigh evidence, debate and make reasoned arguments. It should also prepare pupils to take their place in society as responsible citizens, manage their money well and make sound financial</w:t>
      </w:r>
      <w:r>
        <w:rPr>
          <w:spacing w:val="-1"/>
          <w:sz w:val="24"/>
        </w:rPr>
        <w:t> </w:t>
      </w:r>
      <w:r>
        <w:rPr>
          <w:sz w:val="24"/>
        </w:rPr>
        <w:t>decisions.</w:t>
      </w:r>
    </w:p>
    <w:p>
      <w:pPr>
        <w:pStyle w:val="ListParagraph"/>
        <w:numPr>
          <w:ilvl w:val="0"/>
          <w:numId w:val="23"/>
        </w:numPr>
        <w:tabs>
          <w:tab w:pos="833" w:val="left" w:leader="none"/>
          <w:tab w:pos="834" w:val="left" w:leader="none"/>
        </w:tabs>
        <w:spacing w:line="288" w:lineRule="auto" w:before="240" w:after="0"/>
        <w:ind w:left="113" w:right="525" w:firstLine="0"/>
        <w:jc w:val="left"/>
        <w:rPr>
          <w:sz w:val="24"/>
        </w:rPr>
      </w:pPr>
      <w:r>
        <w:rPr>
          <w:sz w:val="24"/>
        </w:rPr>
        <w:t>At key stages 1 and 2, the national curriculum for science includes teaching about the main external parts of the body and changes to the human body as it grows from birth to old age, including puberty. At key stage 3 and 4, it includes teaching about reproduction in humans; for example, the structure and function of the male and female reproductive systems, menstrual cycle, gametes, fertilisation, gestation, birth and HIV/AIDS.</w:t>
      </w:r>
    </w:p>
    <w:p>
      <w:pPr>
        <w:pStyle w:val="ListParagraph"/>
        <w:numPr>
          <w:ilvl w:val="0"/>
          <w:numId w:val="23"/>
        </w:numPr>
        <w:tabs>
          <w:tab w:pos="833" w:val="left" w:leader="none"/>
          <w:tab w:pos="834" w:val="left" w:leader="none"/>
        </w:tabs>
        <w:spacing w:line="288" w:lineRule="auto" w:before="240" w:after="0"/>
        <w:ind w:left="113" w:right="711" w:firstLine="0"/>
        <w:jc w:val="left"/>
        <w:rPr>
          <w:sz w:val="24"/>
        </w:rPr>
      </w:pPr>
      <w:r>
        <w:rPr>
          <w:sz w:val="24"/>
        </w:rPr>
        <w:t>The national curriculum for computing aims to ensure that all pupils can understand and apply the fundamental principles and concepts of computer science, including logic, algorithms and data representation. It also covers e-safety, with progression in the content to reflect the different and escalating risks that young people face as they get older. This includes how to use technology safely, responsibly, respectfully and securely, how to keep personal information private, and where to go for help and</w:t>
      </w:r>
      <w:r>
        <w:rPr>
          <w:spacing w:val="-1"/>
          <w:sz w:val="24"/>
        </w:rPr>
        <w:t> </w:t>
      </w:r>
      <w:r>
        <w:rPr>
          <w:sz w:val="24"/>
        </w:rPr>
        <w:t>support.</w:t>
      </w:r>
    </w:p>
    <w:p>
      <w:pPr>
        <w:pStyle w:val="ListParagraph"/>
        <w:numPr>
          <w:ilvl w:val="0"/>
          <w:numId w:val="23"/>
        </w:numPr>
        <w:tabs>
          <w:tab w:pos="833" w:val="left" w:leader="none"/>
          <w:tab w:pos="834" w:val="left" w:leader="none"/>
        </w:tabs>
        <w:spacing w:line="288" w:lineRule="auto" w:before="240" w:after="0"/>
        <w:ind w:left="113" w:right="606" w:firstLine="0"/>
        <w:jc w:val="left"/>
        <w:rPr>
          <w:sz w:val="24"/>
        </w:rPr>
      </w:pPr>
      <w:r>
        <w:rPr>
          <w:sz w:val="24"/>
        </w:rPr>
        <w:t>The national curriculum for PE aims to ensure that pupils develop competence to excel in a broad range of physical activities, are physically active for sustained periods of time, engage in competitive sport and activities and lead healthy, active</w:t>
      </w:r>
      <w:r>
        <w:rPr>
          <w:spacing w:val="-11"/>
          <w:sz w:val="24"/>
        </w:rPr>
        <w:t> </w:t>
      </w:r>
      <w:r>
        <w:rPr>
          <w:sz w:val="24"/>
        </w:rPr>
        <w:t>lives.</w:t>
      </w:r>
    </w:p>
    <w:p>
      <w:pPr>
        <w:pStyle w:val="ListParagraph"/>
        <w:numPr>
          <w:ilvl w:val="0"/>
          <w:numId w:val="23"/>
        </w:numPr>
        <w:tabs>
          <w:tab w:pos="833" w:val="left" w:leader="none"/>
          <w:tab w:pos="834" w:val="left" w:leader="none"/>
        </w:tabs>
        <w:spacing w:line="288" w:lineRule="auto" w:before="240" w:after="0"/>
        <w:ind w:left="113" w:right="579" w:firstLine="0"/>
        <w:jc w:val="left"/>
        <w:rPr>
          <w:sz w:val="24"/>
        </w:rPr>
      </w:pPr>
      <w:r>
        <w:rPr>
          <w:sz w:val="24"/>
        </w:rPr>
        <w:t>Schools need to consider how they can ensure that Relationships Education, RSE and Health Education complement existing national curriculum subjects and whole school approaches to wellbeing and health. For example, health education can complement what is taught through PE by developing core knowledge and broader understanding that enables people to lead healthy, active lives and citizenship</w:t>
      </w:r>
      <w:r>
        <w:rPr>
          <w:spacing w:val="-19"/>
          <w:sz w:val="24"/>
        </w:rPr>
        <w:t> </w:t>
      </w:r>
      <w:r>
        <w:rPr>
          <w:sz w:val="24"/>
        </w:rPr>
        <w:t>can</w:t>
      </w:r>
    </w:p>
    <w:p>
      <w:pPr>
        <w:spacing w:after="0" w:line="288" w:lineRule="auto"/>
        <w:jc w:val="left"/>
        <w:rPr>
          <w:sz w:val="24"/>
        </w:rPr>
        <w:sectPr>
          <w:pgSz w:w="11910" w:h="16840"/>
          <w:pgMar w:header="708" w:footer="783" w:top="980" w:bottom="980" w:left="1020" w:right="760"/>
        </w:sectPr>
      </w:pPr>
    </w:p>
    <w:p>
      <w:pPr>
        <w:pStyle w:val="BodyText"/>
        <w:spacing w:line="288" w:lineRule="auto" w:before="138"/>
        <w:ind w:left="114" w:right="977"/>
      </w:pPr>
      <w:r>
        <w:rPr/>
        <w:t>complement all of the new subjects in the coverage of law. Schools should tailor their curriculum to meet the needs of their pupils.</w:t>
      </w:r>
    </w:p>
    <w:p>
      <w:pPr>
        <w:pStyle w:val="BodyText"/>
        <w:spacing w:before="10"/>
        <w:rPr>
          <w:sz w:val="41"/>
        </w:rPr>
      </w:pPr>
    </w:p>
    <w:p>
      <w:pPr>
        <w:pStyle w:val="Heading2"/>
      </w:pPr>
      <w:bookmarkStart w:name="Pupil Referral Units/Alternative Provisi" w:id="74"/>
      <w:bookmarkEnd w:id="74"/>
      <w:r>
        <w:rPr>
          <w:b w:val="0"/>
        </w:rPr>
      </w:r>
      <w:bookmarkStart w:name="_bookmark40" w:id="75"/>
      <w:bookmarkEnd w:id="75"/>
      <w:r>
        <w:rPr>
          <w:b w:val="0"/>
        </w:rPr>
      </w:r>
      <w:r>
        <w:rPr>
          <w:color w:val="02466C"/>
        </w:rPr>
        <w:t>Pupil Referral Units/Alternative Provision</w:t>
      </w:r>
    </w:p>
    <w:p>
      <w:pPr>
        <w:pStyle w:val="ListParagraph"/>
        <w:numPr>
          <w:ilvl w:val="0"/>
          <w:numId w:val="23"/>
        </w:numPr>
        <w:tabs>
          <w:tab w:pos="833" w:val="left" w:leader="none"/>
          <w:tab w:pos="834" w:val="left" w:leader="none"/>
        </w:tabs>
        <w:spacing w:line="288" w:lineRule="auto" w:before="238" w:after="0"/>
        <w:ind w:left="113" w:right="552" w:firstLine="0"/>
        <w:jc w:val="left"/>
        <w:rPr>
          <w:sz w:val="24"/>
        </w:rPr>
      </w:pPr>
      <w:r>
        <w:rPr>
          <w:sz w:val="24"/>
        </w:rPr>
        <w:t>Pupil referral units (PRUs), alternative provision (AP) academies and free schools and independent schools that provide AP are required to make provision for Relationships Education, RSE and Health Education in the same way as mainstream schools; and they must have regard to this guidance in delivering their programme. In teaching these subjects in PRUs, AP academies and free schools, and independent</w:t>
      </w:r>
      <w:r>
        <w:rPr>
          <w:position w:val="8"/>
          <w:sz w:val="16"/>
        </w:rPr>
        <w:t>16 </w:t>
      </w:r>
      <w:r>
        <w:rPr>
          <w:sz w:val="24"/>
        </w:rPr>
        <w:t>AP schools, specific thought should be given to the particular needs and vulnerabilities of the pupils.</w:t>
      </w:r>
    </w:p>
    <w:p>
      <w:pPr>
        <w:pStyle w:val="BodyText"/>
        <w:spacing w:before="4"/>
        <w:rPr>
          <w:sz w:val="41"/>
        </w:rPr>
      </w:pPr>
    </w:p>
    <w:p>
      <w:pPr>
        <w:pStyle w:val="Heading2"/>
      </w:pPr>
      <w:bookmarkStart w:name="Senior leadership and whole school appro" w:id="76"/>
      <w:bookmarkEnd w:id="76"/>
      <w:r>
        <w:rPr>
          <w:b w:val="0"/>
        </w:rPr>
      </w:r>
      <w:bookmarkStart w:name="_bookmark41" w:id="77"/>
      <w:bookmarkEnd w:id="77"/>
      <w:r>
        <w:rPr>
          <w:b w:val="0"/>
        </w:rPr>
      </w:r>
      <w:r>
        <w:rPr>
          <w:color w:val="02466C"/>
        </w:rPr>
        <w:t>Senior leadership and whole school approach</w:t>
      </w:r>
    </w:p>
    <w:p>
      <w:pPr>
        <w:pStyle w:val="ListParagraph"/>
        <w:numPr>
          <w:ilvl w:val="0"/>
          <w:numId w:val="23"/>
        </w:numPr>
        <w:tabs>
          <w:tab w:pos="833" w:val="left" w:leader="none"/>
          <w:tab w:pos="834" w:val="left" w:leader="none"/>
        </w:tabs>
        <w:spacing w:line="288" w:lineRule="auto" w:before="238" w:after="0"/>
        <w:ind w:left="113" w:right="700" w:firstLine="0"/>
        <w:jc w:val="left"/>
        <w:rPr>
          <w:sz w:val="24"/>
        </w:rPr>
      </w:pPr>
      <w:r>
        <w:rPr>
          <w:sz w:val="24"/>
        </w:rPr>
        <w:t>Schools which demonstrate effective practice often ensure clear responsibility for these subjects by a senior teacher in leadership position with dedicated time to lead specialist provision, e.g. a subject lead or</w:t>
      </w:r>
      <w:r>
        <w:rPr>
          <w:spacing w:val="-1"/>
          <w:sz w:val="24"/>
        </w:rPr>
        <w:t> </w:t>
      </w:r>
      <w:r>
        <w:rPr>
          <w:sz w:val="24"/>
        </w:rPr>
        <w:t>co-ordinator.</w:t>
      </w:r>
    </w:p>
    <w:p>
      <w:pPr>
        <w:pStyle w:val="ListParagraph"/>
        <w:numPr>
          <w:ilvl w:val="0"/>
          <w:numId w:val="23"/>
        </w:numPr>
        <w:tabs>
          <w:tab w:pos="833" w:val="left" w:leader="none"/>
          <w:tab w:pos="834" w:val="left" w:leader="none"/>
        </w:tabs>
        <w:spacing w:line="288" w:lineRule="auto" w:before="240" w:after="0"/>
        <w:ind w:left="113" w:right="526" w:firstLine="0"/>
        <w:jc w:val="left"/>
        <w:rPr>
          <w:sz w:val="24"/>
        </w:rPr>
      </w:pPr>
      <w:r>
        <w:rPr>
          <w:sz w:val="24"/>
        </w:rPr>
        <w:t>All of these subjects should be set in the context of a wider whole-school approach to supporting pupils to be safe, happy and prepared for life beyond school. For example, the curriculum on relationships and on sex should complement, and be supported by, the school’s wider policies on behaviour, inclusion, respect for equality and diversity, bullying and safeguarding (including handling of any reports pupils may make as a result of the subject content). The subjects will sit within the context of a school’s broader</w:t>
      </w:r>
      <w:r>
        <w:rPr>
          <w:spacing w:val="-19"/>
          <w:sz w:val="24"/>
        </w:rPr>
        <w:t> </w:t>
      </w:r>
      <w:r>
        <w:rPr>
          <w:sz w:val="24"/>
        </w:rPr>
        <w:t>ethos</w:t>
      </w:r>
    </w:p>
    <w:p>
      <w:pPr>
        <w:pStyle w:val="BodyText"/>
        <w:spacing w:line="288" w:lineRule="auto"/>
        <w:ind w:left="113" w:right="578"/>
      </w:pPr>
      <w:r>
        <w:rPr/>
        <w:t>and approach to developing pupils socially, morally, spiritually and culturally; and its pastoral care system. This is also the case for teaching about mental health within health education. The curriculum on health education should similarly complement, and be supported by, the school’s wider education on healthy lifestyles through physical education, food technology, science, sport, extra-curricular activity and school food.</w:t>
      </w:r>
    </w:p>
    <w:p>
      <w:pPr>
        <w:pStyle w:val="ListParagraph"/>
        <w:numPr>
          <w:ilvl w:val="0"/>
          <w:numId w:val="23"/>
        </w:numPr>
        <w:tabs>
          <w:tab w:pos="833" w:val="left" w:leader="none"/>
          <w:tab w:pos="834" w:val="left" w:leader="none"/>
        </w:tabs>
        <w:spacing w:line="288" w:lineRule="auto" w:before="241" w:after="0"/>
        <w:ind w:left="113" w:right="685" w:firstLine="0"/>
        <w:jc w:val="left"/>
        <w:rPr>
          <w:sz w:val="24"/>
        </w:rPr>
      </w:pPr>
      <w:r>
        <w:rPr>
          <w:sz w:val="24"/>
        </w:rPr>
        <w:t>Schools should consider how their teaching can help support the development of important attributes in pupils, such as honesty, kindness, tolerance, courtesy, resilience and self-efficacy, as well as how those attributes are also developed by other aspects of the school’s provision. The curriculum should proactively address issues in a timely way in line with current evidence on children’s physical, emotional and sexual development. This should be in line with pupil need, informed by pupil voice and participation in curriculum development and in response to issues as they arise in the school and wider community.</w:t>
      </w:r>
    </w:p>
    <w:p>
      <w:pPr>
        <w:pStyle w:val="BodyText"/>
        <w:rPr>
          <w:sz w:val="20"/>
        </w:rPr>
      </w:pPr>
    </w:p>
    <w:p>
      <w:pPr>
        <w:pStyle w:val="BodyText"/>
        <w:rPr>
          <w:sz w:val="20"/>
        </w:rPr>
      </w:pPr>
    </w:p>
    <w:p>
      <w:pPr>
        <w:pStyle w:val="BodyText"/>
        <w:spacing w:before="10"/>
        <w:rPr>
          <w:sz w:val="26"/>
        </w:rPr>
      </w:pPr>
      <w:r>
        <w:rPr/>
        <w:pict>
          <v:shape style="position:absolute;margin-left:56.700001pt;margin-top:17.725128pt;width:144pt;height:.1pt;mso-position-horizontal-relative:page;mso-position-vertical-relative:paragraph;z-index:-251641856;mso-wrap-distance-left:0;mso-wrap-distance-right:0" coordorigin="1134,355" coordsize="2880,0" path="m1134,355l4014,355e" filled="false" stroked="true" strokeweight=".599pt" strokecolor="#000000">
            <v:path arrowok="t"/>
            <v:stroke dashstyle="solid"/>
            <w10:wrap type="topAndBottom"/>
          </v:shape>
        </w:pict>
      </w:r>
    </w:p>
    <w:p>
      <w:pPr>
        <w:pStyle w:val="BodyText"/>
        <w:spacing w:before="7"/>
        <w:rPr>
          <w:sz w:val="16"/>
        </w:rPr>
      </w:pPr>
    </w:p>
    <w:p>
      <w:pPr>
        <w:spacing w:before="98"/>
        <w:ind w:left="113" w:right="963" w:firstLine="0"/>
        <w:jc w:val="left"/>
        <w:rPr>
          <w:sz w:val="18"/>
        </w:rPr>
      </w:pPr>
      <w:r>
        <w:rPr>
          <w:position w:val="6"/>
          <w:sz w:val="12"/>
        </w:rPr>
        <w:t>16 </w:t>
      </w:r>
      <w:r>
        <w:rPr>
          <w:sz w:val="18"/>
        </w:rPr>
        <w:t>Independent schools do not have to have regard to the guidance on Health Education, although they may find it helpful in planning.</w:t>
      </w:r>
    </w:p>
    <w:p>
      <w:pPr>
        <w:spacing w:after="0"/>
        <w:jc w:val="left"/>
        <w:rPr>
          <w:sz w:val="18"/>
        </w:rPr>
        <w:sectPr>
          <w:pgSz w:w="11910" w:h="16840"/>
          <w:pgMar w:header="708" w:footer="783" w:top="980" w:bottom="980" w:left="1020" w:right="760"/>
        </w:sectPr>
      </w:pPr>
    </w:p>
    <w:p>
      <w:pPr>
        <w:pStyle w:val="Heading2"/>
        <w:spacing w:before="140"/>
      </w:pPr>
      <w:bookmarkStart w:name="Flexibility" w:id="78"/>
      <w:bookmarkEnd w:id="78"/>
      <w:r>
        <w:rPr>
          <w:b w:val="0"/>
        </w:rPr>
      </w:r>
      <w:bookmarkStart w:name="_bookmark42" w:id="79"/>
      <w:bookmarkEnd w:id="79"/>
      <w:r>
        <w:rPr>
          <w:b w:val="0"/>
        </w:rPr>
      </w:r>
      <w:r>
        <w:rPr>
          <w:color w:val="02466C"/>
        </w:rPr>
        <w:t>Flexibility</w:t>
      </w:r>
    </w:p>
    <w:p>
      <w:pPr>
        <w:pStyle w:val="ListParagraph"/>
        <w:numPr>
          <w:ilvl w:val="0"/>
          <w:numId w:val="23"/>
        </w:numPr>
        <w:tabs>
          <w:tab w:pos="833" w:val="left" w:leader="none"/>
          <w:tab w:pos="834" w:val="left" w:leader="none"/>
        </w:tabs>
        <w:spacing w:line="288" w:lineRule="auto" w:before="239" w:after="0"/>
        <w:ind w:left="113" w:right="687" w:firstLine="0"/>
        <w:jc w:val="left"/>
        <w:rPr>
          <w:sz w:val="24"/>
        </w:rPr>
      </w:pPr>
      <w:r>
        <w:rPr>
          <w:sz w:val="24"/>
        </w:rPr>
        <w:t>Schools will retain freedom to determine an age-appropriate, developmental curriculum which meets the needs of young people, is developed in consultation with parents and the local community. Schools must also comply with the relevant provisions of the Equality Act as noted earlier. Where appropriate this may also require a differentiated curriculum. Schools have specific duties to increase the extent to which disabled pupils can participate in the</w:t>
      </w:r>
      <w:r>
        <w:rPr>
          <w:spacing w:val="-2"/>
          <w:sz w:val="24"/>
        </w:rPr>
        <w:t> </w:t>
      </w:r>
      <w:r>
        <w:rPr>
          <w:sz w:val="24"/>
        </w:rPr>
        <w:t>curriculum.</w:t>
      </w:r>
    </w:p>
    <w:p>
      <w:pPr>
        <w:pStyle w:val="ListParagraph"/>
        <w:numPr>
          <w:ilvl w:val="0"/>
          <w:numId w:val="23"/>
        </w:numPr>
        <w:tabs>
          <w:tab w:pos="833" w:val="left" w:leader="none"/>
          <w:tab w:pos="834" w:val="left" w:leader="none"/>
        </w:tabs>
        <w:spacing w:line="288" w:lineRule="auto" w:before="239" w:after="0"/>
        <w:ind w:left="114" w:right="897" w:firstLine="0"/>
        <w:jc w:val="left"/>
        <w:rPr>
          <w:sz w:val="24"/>
        </w:rPr>
      </w:pPr>
      <w:r>
        <w:rPr>
          <w:sz w:val="24"/>
        </w:rPr>
        <w:t>Flexibility is important as it allows schools to respond to local public health and community issues, meet the needs of their community and adapt materials and programmes to meet the needs of pupils (for example in teaching about gangs or high local prevalence of specific sexually transmitted</w:t>
      </w:r>
      <w:r>
        <w:rPr>
          <w:spacing w:val="-3"/>
          <w:sz w:val="24"/>
        </w:rPr>
        <w:t> </w:t>
      </w:r>
      <w:r>
        <w:rPr>
          <w:sz w:val="24"/>
        </w:rPr>
        <w:t>infections).</w:t>
      </w:r>
    </w:p>
    <w:p>
      <w:pPr>
        <w:spacing w:after="0" w:line="288" w:lineRule="auto"/>
        <w:jc w:val="left"/>
        <w:rPr>
          <w:sz w:val="24"/>
        </w:rPr>
        <w:sectPr>
          <w:pgSz w:w="11910" w:h="16840"/>
          <w:pgMar w:header="708" w:footer="783" w:top="980" w:bottom="980" w:left="1020" w:right="760"/>
        </w:sectPr>
      </w:pPr>
    </w:p>
    <w:p>
      <w:pPr>
        <w:pStyle w:val="Heading8"/>
        <w:spacing w:before="87"/>
        <w:ind w:left="994" w:right="1396"/>
        <w:jc w:val="center"/>
      </w:pPr>
      <w:r>
        <w:rPr/>
        <w:t>DRAFT</w:t>
      </w:r>
    </w:p>
    <w:p>
      <w:pPr>
        <w:pStyle w:val="BodyText"/>
        <w:rPr>
          <w:b/>
          <w:sz w:val="20"/>
        </w:rPr>
      </w:pPr>
    </w:p>
    <w:p>
      <w:pPr>
        <w:pStyle w:val="Heading1"/>
        <w:spacing w:before="258"/>
      </w:pPr>
      <w:bookmarkStart w:name="Safeguarding, reports of abuse and confi" w:id="80"/>
      <w:bookmarkEnd w:id="80"/>
      <w:r>
        <w:rPr>
          <w:b w:val="0"/>
        </w:rPr>
      </w:r>
      <w:bookmarkStart w:name="_bookmark43" w:id="81"/>
      <w:bookmarkEnd w:id="81"/>
      <w:r>
        <w:rPr>
          <w:b w:val="0"/>
        </w:rPr>
      </w:r>
      <w:r>
        <w:rPr>
          <w:color w:val="02466C"/>
        </w:rPr>
        <w:t>Safeguarding, reports of abuse and confidentiality</w:t>
      </w:r>
    </w:p>
    <w:p>
      <w:pPr>
        <w:pStyle w:val="ListParagraph"/>
        <w:numPr>
          <w:ilvl w:val="0"/>
          <w:numId w:val="23"/>
        </w:numPr>
        <w:tabs>
          <w:tab w:pos="833" w:val="left" w:leader="none"/>
          <w:tab w:pos="834" w:val="left" w:leader="none"/>
        </w:tabs>
        <w:spacing w:line="288" w:lineRule="auto" w:before="178" w:after="0"/>
        <w:ind w:left="113" w:right="578" w:firstLine="0"/>
        <w:jc w:val="left"/>
        <w:rPr>
          <w:sz w:val="24"/>
        </w:rPr>
      </w:pPr>
      <w:r>
        <w:rPr>
          <w:sz w:val="24"/>
        </w:rPr>
        <w:t>At the heart of these subjects there is a focus on keeping children safe, and schools can play an important role in preventative education. </w:t>
      </w:r>
      <w:hyperlink r:id="rId26">
        <w:r>
          <w:rPr>
            <w:sz w:val="24"/>
          </w:rPr>
          <w:t>Keeping Children Safe in</w:t>
        </w:r>
      </w:hyperlink>
      <w:hyperlink r:id="rId26">
        <w:r>
          <w:rPr>
            <w:sz w:val="24"/>
          </w:rPr>
          <w:t> Education </w:t>
        </w:r>
      </w:hyperlink>
      <w:r>
        <w:rPr>
          <w:sz w:val="24"/>
        </w:rPr>
        <w:t>(KCSIE) sets out that all schools and colleges should ensure children are taught about safeguarding, including how to stay safe online, as part of providing a broad and balanced</w:t>
      </w:r>
      <w:r>
        <w:rPr>
          <w:spacing w:val="-1"/>
          <w:sz w:val="24"/>
        </w:rPr>
        <w:t> </w:t>
      </w:r>
      <w:r>
        <w:rPr>
          <w:sz w:val="24"/>
        </w:rPr>
        <w:t>curriculum.</w:t>
      </w:r>
    </w:p>
    <w:p>
      <w:pPr>
        <w:pStyle w:val="ListParagraph"/>
        <w:numPr>
          <w:ilvl w:val="0"/>
          <w:numId w:val="23"/>
        </w:numPr>
        <w:tabs>
          <w:tab w:pos="833" w:val="left" w:leader="none"/>
          <w:tab w:pos="834" w:val="left" w:leader="none"/>
        </w:tabs>
        <w:spacing w:line="288" w:lineRule="auto" w:before="181" w:after="0"/>
        <w:ind w:left="113" w:right="592" w:firstLine="0"/>
        <w:jc w:val="left"/>
        <w:rPr>
          <w:sz w:val="24"/>
        </w:rPr>
      </w:pPr>
      <w:r>
        <w:rPr>
          <w:sz w:val="24"/>
        </w:rPr>
        <w:t>Good practice allows children an open forum to discuss potentially sensitive issues. Such discussions can lead to increased safeguarding reports. Children should be made aware of how to raise their concerns or make a report and how any report will be handled. This should include processes when they have a concern about a friend or peer.</w:t>
      </w:r>
    </w:p>
    <w:p>
      <w:pPr>
        <w:pStyle w:val="ListParagraph"/>
        <w:numPr>
          <w:ilvl w:val="0"/>
          <w:numId w:val="23"/>
        </w:numPr>
        <w:tabs>
          <w:tab w:pos="833" w:val="left" w:leader="none"/>
          <w:tab w:pos="834" w:val="left" w:leader="none"/>
        </w:tabs>
        <w:spacing w:line="288" w:lineRule="auto" w:before="180" w:after="0"/>
        <w:ind w:left="113" w:right="525" w:firstLine="0"/>
        <w:jc w:val="left"/>
        <w:rPr>
          <w:sz w:val="24"/>
        </w:rPr>
      </w:pPr>
      <w:r>
        <w:rPr>
          <w:sz w:val="24"/>
        </w:rPr>
        <w:t>KCSIE is clear that all staff should know what to do if a pupil tells them that they are being abused or neglected or are witnessing abuse. Staff should know how to manage the requirement to maintain an appropriate level of confidentiality. This means only involving those who need to be involved, such as the Designated Safeguarding Lead (or deputy) and children’s social care. Staff should never promise a child that they will not tell anyone about a report of abuse, as this may ultimately not be in the best interests of the</w:t>
      </w:r>
      <w:r>
        <w:rPr>
          <w:spacing w:val="-1"/>
          <w:sz w:val="24"/>
        </w:rPr>
        <w:t> </w:t>
      </w:r>
      <w:r>
        <w:rPr>
          <w:sz w:val="24"/>
        </w:rPr>
        <w:t>child.</w:t>
      </w:r>
    </w:p>
    <w:p>
      <w:pPr>
        <w:pStyle w:val="ListParagraph"/>
        <w:numPr>
          <w:ilvl w:val="0"/>
          <w:numId w:val="23"/>
        </w:numPr>
        <w:tabs>
          <w:tab w:pos="833" w:val="left" w:leader="none"/>
          <w:tab w:pos="834" w:val="left" w:leader="none"/>
        </w:tabs>
        <w:spacing w:line="288" w:lineRule="auto" w:before="180" w:after="0"/>
        <w:ind w:left="113" w:right="525" w:firstLine="0"/>
        <w:jc w:val="left"/>
        <w:rPr>
          <w:sz w:val="24"/>
        </w:rPr>
      </w:pPr>
      <w:r>
        <w:rPr>
          <w:sz w:val="24"/>
        </w:rPr>
        <w:t>Good practice would be to involve the Designated Safeguarding Lead (or a deputy) in anything that is safeguarding-related in the context of these subjects. They will potentially have knowledge of trusted, high quality local resources that could be engaged, links to the police and other agencies and the knowledge of any particular local issues which it may be appropriate to address in</w:t>
      </w:r>
      <w:r>
        <w:rPr>
          <w:spacing w:val="-2"/>
          <w:sz w:val="24"/>
        </w:rPr>
        <w:t> </w:t>
      </w:r>
      <w:r>
        <w:rPr>
          <w:sz w:val="24"/>
        </w:rPr>
        <w:t>lessons.</w:t>
      </w:r>
    </w:p>
    <w:p>
      <w:pPr>
        <w:pStyle w:val="ListParagraph"/>
        <w:numPr>
          <w:ilvl w:val="0"/>
          <w:numId w:val="23"/>
        </w:numPr>
        <w:tabs>
          <w:tab w:pos="833" w:val="left" w:leader="none"/>
          <w:tab w:pos="834" w:val="left" w:leader="none"/>
        </w:tabs>
        <w:spacing w:line="288" w:lineRule="auto" w:before="179" w:after="0"/>
        <w:ind w:left="113" w:right="606" w:firstLine="0"/>
        <w:jc w:val="left"/>
        <w:rPr>
          <w:sz w:val="24"/>
        </w:rPr>
      </w:pPr>
      <w:r>
        <w:rPr>
          <w:sz w:val="24"/>
        </w:rPr>
        <w:t>Where a school invites external agencies in to support delivery of these subjects, they must agree in advance of the session how a safeguarding report should be dealt with by the external visitor. It is important that children understand how confidentiality will be handled in a lesson and what might happen if they choose to make a</w:t>
      </w:r>
      <w:r>
        <w:rPr>
          <w:spacing w:val="-14"/>
          <w:sz w:val="24"/>
        </w:rPr>
        <w:t> </w:t>
      </w:r>
      <w:r>
        <w:rPr>
          <w:sz w:val="24"/>
        </w:rPr>
        <w:t>report.</w:t>
      </w:r>
    </w:p>
    <w:p>
      <w:pPr>
        <w:pStyle w:val="ListParagraph"/>
        <w:numPr>
          <w:ilvl w:val="0"/>
          <w:numId w:val="23"/>
        </w:numPr>
        <w:tabs>
          <w:tab w:pos="833" w:val="left" w:leader="none"/>
          <w:tab w:pos="834" w:val="left" w:leader="none"/>
        </w:tabs>
        <w:spacing w:line="288" w:lineRule="auto" w:before="180" w:after="0"/>
        <w:ind w:left="113" w:right="567" w:firstLine="0"/>
        <w:jc w:val="left"/>
        <w:rPr>
          <w:sz w:val="24"/>
        </w:rPr>
      </w:pPr>
      <w:r>
        <w:rPr>
          <w:sz w:val="24"/>
        </w:rPr>
        <w:t>There are some important points for teachers in terms of how they approach this content and how they consider their planning. When teaching the new subjects, schools should be aware that children may raise topics including self-harm and suicide. In talking about this content in the classroom, teachers must be aware of the risks of encouraging or making suicide seem a more viable option for pupils and avoid material being instructive rather than preventative. To avoid this, they should take care to avoid giving instructions or methods of self-harm or suicide and avoid using emotive language, videos or images. </w:t>
      </w:r>
      <w:r>
        <w:rPr>
          <w:i/>
          <w:sz w:val="24"/>
        </w:rPr>
        <w:t>Teacher Guidance: preparing to teach about mental health and emotional </w:t>
      </w:r>
      <w:r>
        <w:rPr>
          <w:i/>
          <w:sz w:val="24"/>
        </w:rPr>
        <w:t>wellbeing</w:t>
      </w:r>
      <w:r>
        <w:rPr>
          <w:i/>
          <w:position w:val="8"/>
          <w:sz w:val="16"/>
        </w:rPr>
        <w:t>17 </w:t>
      </w:r>
      <w:r>
        <w:rPr>
          <w:sz w:val="24"/>
        </w:rPr>
        <w:t>provides useful support for teachers in handling this</w:t>
      </w:r>
      <w:r>
        <w:rPr>
          <w:spacing w:val="-32"/>
          <w:sz w:val="24"/>
        </w:rPr>
        <w:t> </w:t>
      </w:r>
      <w:r>
        <w:rPr>
          <w:sz w:val="24"/>
        </w:rPr>
        <w:t>material.</w:t>
      </w:r>
    </w:p>
    <w:p>
      <w:pPr>
        <w:pStyle w:val="ListParagraph"/>
        <w:numPr>
          <w:ilvl w:val="0"/>
          <w:numId w:val="23"/>
        </w:numPr>
        <w:tabs>
          <w:tab w:pos="833" w:val="left" w:leader="none"/>
          <w:tab w:pos="834" w:val="left" w:leader="none"/>
        </w:tabs>
        <w:spacing w:line="288" w:lineRule="auto" w:before="175" w:after="0"/>
        <w:ind w:left="113" w:right="647" w:firstLine="0"/>
        <w:jc w:val="left"/>
        <w:rPr>
          <w:sz w:val="24"/>
        </w:rPr>
      </w:pPr>
      <w:r>
        <w:rPr>
          <w:sz w:val="24"/>
        </w:rPr>
        <w:t>If teachers have concerns about a specific pupil in relation to self-harm or suicidal ideation or attempts, they must follow safeguarding</w:t>
      </w:r>
      <w:r>
        <w:rPr>
          <w:spacing w:val="-4"/>
          <w:sz w:val="24"/>
        </w:rPr>
        <w:t> </w:t>
      </w:r>
      <w:r>
        <w:rPr>
          <w:sz w:val="24"/>
        </w:rPr>
        <w:t>procedures.</w:t>
      </w:r>
    </w:p>
    <w:p>
      <w:pPr>
        <w:pStyle w:val="BodyText"/>
        <w:spacing w:before="6"/>
        <w:rPr>
          <w:sz w:val="28"/>
        </w:rPr>
      </w:pPr>
      <w:r>
        <w:rPr/>
        <w:pict>
          <v:shape style="position:absolute;margin-left:56.700001pt;margin-top:18.667891pt;width:144pt;height:.1pt;mso-position-horizontal-relative:page;mso-position-vertical-relative:paragraph;z-index:-251640832;mso-wrap-distance-left:0;mso-wrap-distance-right:0" coordorigin="1134,373" coordsize="2880,0" path="m1134,373l4014,373e" filled="false" stroked="true" strokeweight=".6pt" strokecolor="#000000">
            <v:path arrowok="t"/>
            <v:stroke dashstyle="solid"/>
            <w10:wrap type="topAndBottom"/>
          </v:shape>
        </w:pict>
      </w:r>
    </w:p>
    <w:p>
      <w:pPr>
        <w:pStyle w:val="BodyText"/>
        <w:rPr>
          <w:sz w:val="17"/>
        </w:rPr>
      </w:pPr>
    </w:p>
    <w:p>
      <w:pPr>
        <w:spacing w:before="98"/>
        <w:ind w:left="114" w:right="0" w:firstLine="0"/>
        <w:jc w:val="left"/>
        <w:rPr>
          <w:sz w:val="18"/>
        </w:rPr>
      </w:pPr>
      <w:r>
        <w:rPr>
          <w:position w:val="6"/>
          <w:sz w:val="12"/>
        </w:rPr>
        <w:t>17 </w:t>
      </w:r>
      <w:hyperlink r:id="rId46">
        <w:r>
          <w:rPr>
            <w:color w:val="2B4FA2"/>
            <w:sz w:val="20"/>
            <w:u w:val="single" w:color="2B4FA2"/>
          </w:rPr>
          <w:t>Teacher Guidance: preparing to teach about mental health and wellbeing</w:t>
        </w:r>
      </w:hyperlink>
      <w:r>
        <w:rPr>
          <w:color w:val="2B4FA2"/>
          <w:sz w:val="20"/>
          <w:u w:val="single" w:color="2B4FA2"/>
        </w:rPr>
        <w:t>,</w:t>
      </w:r>
      <w:r>
        <w:rPr>
          <w:color w:val="2B4FA2"/>
          <w:sz w:val="20"/>
        </w:rPr>
        <w:t> </w:t>
      </w:r>
      <w:r>
        <w:rPr>
          <w:sz w:val="18"/>
        </w:rPr>
        <w:t>PSHE association</w:t>
      </w:r>
    </w:p>
    <w:p>
      <w:pPr>
        <w:pStyle w:val="BodyText"/>
        <w:spacing w:before="8"/>
        <w:rPr>
          <w:sz w:val="29"/>
        </w:rPr>
      </w:pPr>
    </w:p>
    <w:p>
      <w:pPr>
        <w:pStyle w:val="BodyText"/>
        <w:spacing w:before="96"/>
        <w:ind w:left="994" w:right="1396"/>
        <w:jc w:val="center"/>
      </w:pPr>
      <w:r>
        <w:rPr/>
        <w:t>42</w:t>
      </w:r>
    </w:p>
    <w:p>
      <w:pPr>
        <w:spacing w:after="0"/>
        <w:jc w:val="center"/>
        <w:sectPr>
          <w:headerReference w:type="default" r:id="rId44"/>
          <w:footerReference w:type="default" r:id="rId45"/>
          <w:pgSz w:w="11910" w:h="16840"/>
          <w:pgMar w:header="0" w:footer="0" w:top="120" w:bottom="0" w:left="1020" w:right="760"/>
        </w:sectPr>
      </w:pPr>
    </w:p>
    <w:p>
      <w:pPr>
        <w:pStyle w:val="BodyText"/>
        <w:spacing w:before="5"/>
        <w:rPr>
          <w:sz w:val="14"/>
        </w:rPr>
      </w:pPr>
    </w:p>
    <w:p>
      <w:pPr>
        <w:pStyle w:val="Heading1"/>
        <w:spacing w:before="101"/>
      </w:pPr>
      <w:bookmarkStart w:name="Assessment" w:id="82"/>
      <w:bookmarkEnd w:id="82"/>
      <w:r>
        <w:rPr>
          <w:b w:val="0"/>
        </w:rPr>
      </w:r>
      <w:bookmarkStart w:name="_bookmark44" w:id="83"/>
      <w:bookmarkEnd w:id="83"/>
      <w:r>
        <w:rPr>
          <w:b w:val="0"/>
        </w:rPr>
      </w:r>
      <w:r>
        <w:rPr>
          <w:color w:val="02466C"/>
        </w:rPr>
        <w:t>Assessment</w:t>
      </w:r>
    </w:p>
    <w:p>
      <w:pPr>
        <w:pStyle w:val="ListParagraph"/>
        <w:numPr>
          <w:ilvl w:val="0"/>
          <w:numId w:val="23"/>
        </w:numPr>
        <w:tabs>
          <w:tab w:pos="833" w:val="left" w:leader="none"/>
          <w:tab w:pos="834" w:val="left" w:leader="none"/>
        </w:tabs>
        <w:spacing w:line="288" w:lineRule="auto" w:before="238" w:after="0"/>
        <w:ind w:left="113" w:right="821" w:firstLine="0"/>
        <w:jc w:val="left"/>
        <w:rPr>
          <w:sz w:val="24"/>
        </w:rPr>
      </w:pPr>
      <w:r>
        <w:rPr>
          <w:sz w:val="24"/>
        </w:rPr>
        <w:t>Schools should have the same high expectations of the quality of pupils’ work in these subjects as for other curriculum areas. A strong curriculum will build on the knowledge pupils have previously acquired, including in other subjects, with regular feedback provided on pupil progress.</w:t>
      </w:r>
    </w:p>
    <w:p>
      <w:pPr>
        <w:pStyle w:val="ListParagraph"/>
        <w:numPr>
          <w:ilvl w:val="0"/>
          <w:numId w:val="23"/>
        </w:numPr>
        <w:tabs>
          <w:tab w:pos="834" w:val="left" w:leader="none"/>
        </w:tabs>
        <w:spacing w:line="288" w:lineRule="auto" w:before="241" w:after="0"/>
        <w:ind w:left="113" w:right="551" w:firstLine="0"/>
        <w:jc w:val="both"/>
        <w:rPr>
          <w:sz w:val="24"/>
        </w:rPr>
      </w:pPr>
      <w:r>
        <w:rPr>
          <w:sz w:val="24"/>
        </w:rPr>
        <w:t>Lessons should be planned to ensure that pupils of differing abilities, including the most able, are suitably challenged. Teaching should be assessed and assessments used to identify where pupils need extra support or</w:t>
      </w:r>
      <w:r>
        <w:rPr>
          <w:spacing w:val="-3"/>
          <w:sz w:val="24"/>
        </w:rPr>
        <w:t> </w:t>
      </w:r>
      <w:r>
        <w:rPr>
          <w:sz w:val="24"/>
        </w:rPr>
        <w:t>intervention.</w:t>
      </w:r>
    </w:p>
    <w:p>
      <w:pPr>
        <w:pStyle w:val="ListParagraph"/>
        <w:numPr>
          <w:ilvl w:val="0"/>
          <w:numId w:val="23"/>
        </w:numPr>
        <w:tabs>
          <w:tab w:pos="833" w:val="left" w:leader="none"/>
          <w:tab w:pos="834" w:val="left" w:leader="none"/>
        </w:tabs>
        <w:spacing w:line="288" w:lineRule="auto" w:before="240" w:after="0"/>
        <w:ind w:left="113" w:right="564" w:firstLine="0"/>
        <w:jc w:val="left"/>
        <w:rPr>
          <w:sz w:val="24"/>
        </w:rPr>
      </w:pPr>
      <w:r>
        <w:rPr>
          <w:sz w:val="24"/>
        </w:rPr>
        <w:t>Whilst there is no formal examined assessment for these subjects, there are some areas to consider in strengthening quality of provision, and which demonstrate how teachers can assess outcomes. For example, tests, written assignments or self- evaluations, to capture</w:t>
      </w:r>
      <w:r>
        <w:rPr>
          <w:spacing w:val="-1"/>
          <w:sz w:val="24"/>
        </w:rPr>
        <w:t> </w:t>
      </w:r>
      <w:r>
        <w:rPr>
          <w:sz w:val="24"/>
        </w:rPr>
        <w:t>progress.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before="97"/>
        <w:ind w:left="994" w:right="1396"/>
        <w:jc w:val="center"/>
      </w:pPr>
      <w:r>
        <w:rPr/>
        <w:t>43</w:t>
      </w:r>
    </w:p>
    <w:p>
      <w:pPr>
        <w:spacing w:after="0"/>
        <w:jc w:val="center"/>
        <w:sectPr>
          <w:headerReference w:type="default" r:id="rId47"/>
          <w:footerReference w:type="default" r:id="rId48"/>
          <w:pgSz w:w="11910" w:h="16840"/>
          <w:pgMar w:header="708" w:footer="0" w:top="980" w:bottom="280" w:left="1020" w:right="760"/>
        </w:sectPr>
      </w:pPr>
    </w:p>
    <w:p>
      <w:pPr>
        <w:pStyle w:val="Heading1"/>
      </w:pPr>
      <w:bookmarkStart w:name="Accountability" w:id="84"/>
      <w:bookmarkEnd w:id="84"/>
      <w:r>
        <w:rPr>
          <w:b w:val="0"/>
        </w:rPr>
      </w:r>
      <w:bookmarkStart w:name="_bookmark45" w:id="85"/>
      <w:bookmarkEnd w:id="85"/>
      <w:r>
        <w:rPr>
          <w:b w:val="0"/>
        </w:rPr>
      </w:r>
      <w:r>
        <w:rPr>
          <w:color w:val="02466C"/>
        </w:rPr>
        <w:t>Accountability</w:t>
      </w:r>
    </w:p>
    <w:p>
      <w:pPr>
        <w:pStyle w:val="ListParagraph"/>
        <w:numPr>
          <w:ilvl w:val="0"/>
          <w:numId w:val="23"/>
        </w:numPr>
        <w:tabs>
          <w:tab w:pos="833" w:val="left" w:leader="none"/>
          <w:tab w:pos="834" w:val="left" w:leader="none"/>
        </w:tabs>
        <w:spacing w:line="288" w:lineRule="auto" w:before="238" w:after="0"/>
        <w:ind w:left="113" w:right="711" w:firstLine="0"/>
        <w:jc w:val="left"/>
        <w:rPr>
          <w:sz w:val="24"/>
        </w:rPr>
      </w:pPr>
      <w:r>
        <w:rPr>
          <w:sz w:val="24"/>
        </w:rPr>
        <w:t>Key aspects of Relationships Education, RSE and Health Education are in scope for Ofsted inspection; for example, through inspectors’ consideration of pupils’ personal development, behaviour and welfare; and pupils’ spiritual, moral, social and cultural development.</w:t>
      </w:r>
    </w:p>
    <w:p>
      <w:pPr>
        <w:spacing w:after="0" w:line="288" w:lineRule="auto"/>
        <w:jc w:val="left"/>
        <w:rPr>
          <w:sz w:val="24"/>
        </w:rPr>
        <w:sectPr>
          <w:headerReference w:type="default" r:id="rId49"/>
          <w:footerReference w:type="default" r:id="rId50"/>
          <w:pgSz w:w="11910" w:h="16840"/>
          <w:pgMar w:header="708" w:footer="783" w:top="980" w:bottom="980" w:left="1020" w:right="760"/>
          <w:pgNumType w:start="44"/>
        </w:sectPr>
      </w:pPr>
    </w:p>
    <w:p>
      <w:pPr>
        <w:pStyle w:val="Heading1"/>
      </w:pPr>
      <w:bookmarkStart w:name="Annex A Regulations" w:id="86"/>
      <w:bookmarkEnd w:id="86"/>
      <w:r>
        <w:rPr>
          <w:b w:val="0"/>
        </w:rPr>
      </w:r>
      <w:bookmarkStart w:name="_bookmark46" w:id="87"/>
      <w:bookmarkEnd w:id="87"/>
      <w:r>
        <w:rPr>
          <w:b w:val="0"/>
        </w:rPr>
      </w:r>
      <w:r>
        <w:rPr>
          <w:color w:val="02466C"/>
        </w:rPr>
        <w:t>Annex A Regulations</w:t>
      </w:r>
    </w:p>
    <w:p>
      <w:pPr>
        <w:pStyle w:val="BodyText"/>
        <w:spacing w:before="8"/>
        <w:rPr>
          <w:b/>
          <w:sz w:val="41"/>
        </w:rPr>
      </w:pPr>
    </w:p>
    <w:p>
      <w:pPr>
        <w:spacing w:before="1"/>
        <w:ind w:left="114" w:right="945" w:firstLine="0"/>
        <w:jc w:val="left"/>
        <w:rPr>
          <w:b/>
          <w:sz w:val="32"/>
        </w:rPr>
      </w:pPr>
      <w:bookmarkStart w:name="Relationships Education, Relationships a" w:id="88"/>
      <w:bookmarkEnd w:id="88"/>
      <w:r>
        <w:rPr/>
      </w:r>
      <w:r>
        <w:rPr>
          <w:b/>
          <w:color w:val="02466C"/>
          <w:sz w:val="32"/>
        </w:rPr>
        <w:t>Relationships Education, Relationships and Sex Education, and Health Education</w:t>
      </w:r>
    </w:p>
    <w:p>
      <w:pPr>
        <w:pStyle w:val="BodyText"/>
        <w:spacing w:line="288" w:lineRule="auto" w:before="237"/>
        <w:ind w:left="113" w:right="671"/>
      </w:pPr>
      <w:r>
        <w:rPr/>
        <w:t>The Relationships Education, Relationships and Sex Education, and Health Education (England) Regulations 2019 are made under sections 34 and 35 of the Children and Social Work Act 2017, and provide that pupils receiving primary education must be taught Relationships Education, pupils receiving secondary education must be taught RSE and that all primary and secondary pupils must be taught Health Education. The new subjects of Relationships Education and RSE must be taught in all maintained schools, academies and independent schools. This includes pupil referral units, maintained special schools, special academies, and non-maintained special schools. All schools, except independent schools, must make provision for Health Education.</w:t>
      </w:r>
    </w:p>
    <w:p>
      <w:pPr>
        <w:pStyle w:val="BodyText"/>
        <w:spacing w:line="288" w:lineRule="auto" w:before="241"/>
        <w:ind w:left="113" w:right="511"/>
      </w:pPr>
      <w:r>
        <w:rPr/>
        <w:t>To give effect to the duty in section 34 of the 2017 Act and the power in section 35 of that Act, the Relationships Education, Relationships and Sex Education and Health Education (England) Regulations 2019 amend existing provisions in the Education Act 1996 and the Education Act 2002 and insert new provisions into the Education (Pupil Referral Units) (Application of Enactments) (England) Regulations 2007, the Education (Independent School Standards) Regulations 2014 and the Non-Maintained Special Schools (England) Regulations 2015</w:t>
      </w:r>
      <w:r>
        <w:rPr>
          <w:color w:val="ED1C24"/>
        </w:rPr>
        <w:t>. </w:t>
      </w:r>
      <w:r>
        <w:rPr/>
        <w:t>The new provisions include a requirement for the Secretary of State to publish guidance on Relationships Education, RSE, and Health Education; require schools to have regard to that guidance; require schools to make a statement of policy on their provision of Relationships Education and RSE; and set out the circumstances in which a pupil is to be excused from RSE.</w:t>
      </w:r>
    </w:p>
    <w:p>
      <w:pPr>
        <w:pStyle w:val="BodyText"/>
        <w:spacing w:line="288" w:lineRule="auto" w:before="240"/>
        <w:ind w:left="113" w:right="536"/>
      </w:pPr>
      <w:r>
        <w:rPr/>
        <w:t>The regulations and guidance in relation to Health Education do not apply to independent schools – they will continue to make provision for the health education element of PSHE under the Education (Independent School Standards) Regulations 2014.</w:t>
      </w:r>
    </w:p>
    <w:p>
      <w:pPr>
        <w:spacing w:after="0" w:line="288" w:lineRule="auto"/>
        <w:sectPr>
          <w:pgSz w:w="11910" w:h="16840"/>
          <w:pgMar w:header="708" w:footer="783" w:top="980" w:bottom="980" w:left="1020" w:right="760"/>
        </w:sectPr>
      </w:pPr>
    </w:p>
    <w:p>
      <w:pPr>
        <w:pStyle w:val="Heading1"/>
      </w:pPr>
      <w:bookmarkStart w:name="Annex B Suggested resources" w:id="89"/>
      <w:bookmarkEnd w:id="89"/>
      <w:r>
        <w:rPr>
          <w:b w:val="0"/>
        </w:rPr>
      </w:r>
      <w:bookmarkStart w:name="_bookmark47" w:id="90"/>
      <w:bookmarkEnd w:id="90"/>
      <w:r>
        <w:rPr>
          <w:b w:val="0"/>
        </w:rPr>
      </w:r>
      <w:r>
        <w:rPr>
          <w:color w:val="02466C"/>
        </w:rPr>
        <w:t>Annex B Suggested resources</w:t>
      </w:r>
    </w:p>
    <w:p>
      <w:pPr>
        <w:pStyle w:val="BodyText"/>
        <w:spacing w:before="8"/>
        <w:rPr>
          <w:b/>
          <w:sz w:val="41"/>
        </w:rPr>
      </w:pPr>
    </w:p>
    <w:p>
      <w:pPr>
        <w:spacing w:before="1"/>
        <w:ind w:left="114" w:right="0" w:firstLine="0"/>
        <w:jc w:val="left"/>
        <w:rPr>
          <w:b/>
          <w:sz w:val="32"/>
        </w:rPr>
      </w:pPr>
      <w:bookmarkStart w:name="Teaching resources" w:id="91"/>
      <w:bookmarkEnd w:id="91"/>
      <w:r>
        <w:rPr/>
      </w:r>
      <w:r>
        <w:rPr>
          <w:b/>
          <w:color w:val="02466C"/>
          <w:sz w:val="32"/>
        </w:rPr>
        <w:t>Teaching resources</w:t>
      </w:r>
    </w:p>
    <w:p>
      <w:pPr>
        <w:pStyle w:val="BodyText"/>
        <w:spacing w:line="288" w:lineRule="auto" w:before="238"/>
        <w:ind w:left="113" w:right="538"/>
      </w:pPr>
      <w:r>
        <w:rPr/>
        <w:t>There are many excellent resources available, free of charge, which schools can draw on when delivering these subjects. Schools should assess each resource that they propose to use carefully to ensure it is appropriate for the age and maturity of pupils and sensitive to their needs, where relevant, schools should use resources that are medically accurate. Schools should also consider drawing on the expertise of the main subject associations who often quality assure third party resources. We also recognise that schools use resources from representative bodies (e.g. many Catholic and other schools draw on the model curricula provided by the Catholic Education Service.)</w:t>
      </w:r>
    </w:p>
    <w:p>
      <w:pPr>
        <w:pStyle w:val="BodyText"/>
        <w:spacing w:line="288" w:lineRule="auto" w:before="239"/>
        <w:ind w:left="113" w:right="724"/>
      </w:pPr>
      <w:r>
        <w:rPr/>
        <w:t>Schools should also ensure that, when they consult parents, they provide examples of the resources they plan to use, as this can be reassuring for parents, and enables them to continue the conversations started in class at home.</w:t>
      </w:r>
    </w:p>
    <w:p>
      <w:pPr>
        <w:pStyle w:val="BodyText"/>
        <w:spacing w:before="240"/>
        <w:ind w:left="113"/>
      </w:pPr>
      <w:r>
        <w:rPr/>
        <w:t>This is for illustrative purposes and is not an exhaustive list.</w:t>
      </w:r>
    </w:p>
    <w:p>
      <w:pPr>
        <w:pStyle w:val="BodyText"/>
        <w:rPr>
          <w:sz w:val="28"/>
        </w:rPr>
      </w:pPr>
    </w:p>
    <w:p>
      <w:pPr>
        <w:spacing w:before="215"/>
        <w:ind w:left="114" w:right="0" w:firstLine="0"/>
        <w:jc w:val="left"/>
        <w:rPr>
          <w:b/>
          <w:sz w:val="32"/>
        </w:rPr>
      </w:pPr>
      <w:bookmarkStart w:name="Relationships Education" w:id="92"/>
      <w:bookmarkEnd w:id="92"/>
      <w:r>
        <w:rPr/>
      </w:r>
      <w:r>
        <w:rPr>
          <w:b/>
          <w:color w:val="02466C"/>
          <w:sz w:val="32"/>
        </w:rPr>
        <w:t>Relationships Education</w:t>
      </w:r>
    </w:p>
    <w:p>
      <w:pPr>
        <w:pStyle w:val="BodyText"/>
        <w:spacing w:line="288" w:lineRule="auto" w:before="239"/>
        <w:ind w:left="114" w:right="552"/>
      </w:pPr>
      <w:r>
        <w:rPr/>
        <w:t>Safeguarding: NSPCC PANTS rule with film </w:t>
      </w:r>
      <w:hyperlink r:id="rId51">
        <w:r>
          <w:rPr>
            <w:color w:val="2B4FA2"/>
            <w:u w:val="single" w:color="2B4FA2"/>
          </w:rPr>
          <w:t>https://www.nspcc.org.uk/preventing-</w:t>
        </w:r>
      </w:hyperlink>
      <w:r>
        <w:rPr>
          <w:color w:val="2B4FA2"/>
        </w:rPr>
        <w:t> </w:t>
      </w:r>
      <w:hyperlink r:id="rId51">
        <w:r>
          <w:rPr>
            <w:color w:val="2B4FA2"/>
            <w:u w:val="single" w:color="2B4FA2"/>
          </w:rPr>
          <w:t>abuse/keeping-children-safe/underwear-rule/underwear-rule-schools-teaching-resources/</w:t>
        </w:r>
      </w:hyperlink>
    </w:p>
    <w:p>
      <w:pPr>
        <w:pStyle w:val="BodyText"/>
        <w:spacing w:before="6"/>
        <w:rPr>
          <w:sz w:val="12"/>
        </w:rPr>
      </w:pPr>
    </w:p>
    <w:p>
      <w:pPr>
        <w:pStyle w:val="BodyText"/>
        <w:spacing w:before="96"/>
        <w:ind w:left="114" w:right="740"/>
      </w:pPr>
      <w:r>
        <w:rPr>
          <w:color w:val="2B4FA2"/>
          <w:u w:val="single" w:color="2B4FA2"/>
        </w:rPr>
        <w:t>Example of model primary curricula </w:t>
      </w:r>
      <w:hyperlink r:id="rId52">
        <w:r>
          <w:rPr>
            <w:color w:val="2B4FA2"/>
            <w:u w:val="single" w:color="2B4FA2"/>
          </w:rPr>
          <w:t>http://catholiceducation.org.uk/schools/relationship-</w:t>
        </w:r>
      </w:hyperlink>
      <w:r>
        <w:rPr>
          <w:color w:val="2B4FA2"/>
        </w:rPr>
        <w:t> </w:t>
      </w:r>
      <w:r>
        <w:rPr>
          <w:color w:val="2B4FA2"/>
          <w:u w:val="single" w:color="2B4FA2"/>
        </w:rPr>
        <w:t>sex-education</w:t>
      </w:r>
    </w:p>
    <w:p>
      <w:pPr>
        <w:pStyle w:val="BodyText"/>
        <w:rPr>
          <w:sz w:val="20"/>
        </w:rPr>
      </w:pPr>
    </w:p>
    <w:p>
      <w:pPr>
        <w:spacing w:before="252"/>
        <w:ind w:left="114" w:right="0" w:firstLine="0"/>
        <w:jc w:val="both"/>
        <w:rPr>
          <w:b/>
          <w:sz w:val="32"/>
        </w:rPr>
      </w:pPr>
      <w:bookmarkStart w:name="Relationships and Sex Education" w:id="93"/>
      <w:bookmarkEnd w:id="93"/>
      <w:r>
        <w:rPr/>
      </w:r>
      <w:r>
        <w:rPr>
          <w:b/>
          <w:color w:val="02466C"/>
          <w:sz w:val="32"/>
        </w:rPr>
        <w:t>Relationships and Sex Education</w:t>
      </w:r>
    </w:p>
    <w:p>
      <w:pPr>
        <w:pStyle w:val="BodyText"/>
        <w:spacing w:line="288" w:lineRule="auto" w:before="239"/>
        <w:ind w:left="114" w:right="1190"/>
        <w:jc w:val="both"/>
      </w:pPr>
      <w:r>
        <w:rPr/>
        <w:t>Sexual health and relationships: up to date information on all aspects of sexual and reproductive health available at </w:t>
      </w:r>
      <w:hyperlink r:id="rId53">
        <w:r>
          <w:rPr>
            <w:color w:val="2B4FA2"/>
            <w:u w:val="single" w:color="2B4FA2"/>
          </w:rPr>
          <w:t>https://sexwise.fpa.org.uk/ </w:t>
        </w:r>
      </w:hyperlink>
      <w:r>
        <w:rPr/>
        <w:t>which teachers may find helpful for their knowledge</w:t>
      </w:r>
    </w:p>
    <w:p>
      <w:pPr>
        <w:pStyle w:val="BodyText"/>
        <w:spacing w:line="288" w:lineRule="auto" w:before="238"/>
        <w:ind w:left="113" w:right="1033"/>
      </w:pPr>
      <w:r>
        <w:rPr/>
        <w:t>Abuse in relationships: Disrespect NoBody (Home Office and Government Equalities Office) </w:t>
      </w:r>
      <w:hyperlink r:id="rId54">
        <w:r>
          <w:rPr>
            <w:color w:val="2B4FA2"/>
            <w:u w:val="single" w:color="2B4FA2"/>
          </w:rPr>
          <w:t>https://www.pshe-association.org.uk/curriculum-and-</w:t>
        </w:r>
      </w:hyperlink>
      <w:r>
        <w:rPr>
          <w:color w:val="2B4FA2"/>
        </w:rPr>
        <w:t> </w:t>
      </w:r>
      <w:hyperlink r:id="rId54">
        <w:r>
          <w:rPr>
            <w:color w:val="2B4FA2"/>
            <w:u w:val="single" w:color="2B4FA2"/>
          </w:rPr>
          <w:t>resources/resources/disrespect-nobody-teaching-resources-preventing</w:t>
        </w:r>
      </w:hyperlink>
    </w:p>
    <w:p>
      <w:pPr>
        <w:pStyle w:val="BodyText"/>
        <w:spacing w:before="6"/>
        <w:rPr>
          <w:sz w:val="12"/>
        </w:rPr>
      </w:pPr>
    </w:p>
    <w:p>
      <w:pPr>
        <w:pStyle w:val="BodyText"/>
        <w:spacing w:line="288" w:lineRule="auto" w:before="97"/>
        <w:ind w:left="114" w:right="1379"/>
      </w:pPr>
      <w:r>
        <w:rPr/>
        <w:t>Consent: PSHE Association lesson plans </w:t>
      </w:r>
      <w:hyperlink r:id="rId55">
        <w:r>
          <w:rPr>
            <w:color w:val="2B4FA2"/>
            <w:u w:val="single" w:color="2B4FA2"/>
          </w:rPr>
          <w:t>https://www.pshe-</w:t>
        </w:r>
      </w:hyperlink>
      <w:r>
        <w:rPr>
          <w:color w:val="2B4FA2"/>
        </w:rPr>
        <w:t> </w:t>
      </w:r>
      <w:hyperlink r:id="rId55">
        <w:r>
          <w:rPr>
            <w:color w:val="2B4FA2"/>
            <w:u w:val="single" w:color="2B4FA2"/>
          </w:rPr>
          <w:t>association.org.uk/curriculum-and-resources/resources/guidance-teaching-about-</w:t>
        </w:r>
      </w:hyperlink>
      <w:r>
        <w:rPr>
          <w:color w:val="2B4FA2"/>
        </w:rPr>
        <w:t> </w:t>
      </w:r>
      <w:hyperlink r:id="rId55">
        <w:r>
          <w:rPr>
            <w:color w:val="2B4FA2"/>
            <w:u w:val="single" w:color="2B4FA2"/>
          </w:rPr>
          <w:t>consent-pshe-education-key</w:t>
        </w:r>
      </w:hyperlink>
    </w:p>
    <w:p>
      <w:pPr>
        <w:pStyle w:val="BodyText"/>
        <w:spacing w:before="5"/>
        <w:rPr>
          <w:sz w:val="12"/>
        </w:rPr>
      </w:pPr>
    </w:p>
    <w:p>
      <w:pPr>
        <w:pStyle w:val="BodyText"/>
        <w:spacing w:line="288" w:lineRule="auto" w:before="97"/>
        <w:ind w:left="114" w:right="1354"/>
      </w:pPr>
      <w:r>
        <w:rPr/>
        <w:t>LGBT inclusivity: Stonewall lesson plans and materials for primary and secondary </w:t>
      </w:r>
      <w:hyperlink r:id="rId56">
        <w:r>
          <w:rPr>
            <w:color w:val="2B4FA2"/>
            <w:u w:val="single" w:color="2B4FA2"/>
          </w:rPr>
          <w:t>https://www.stonewall.org.uk/get-involved/education/different-families-same-love</w:t>
        </w:r>
      </w:hyperlink>
    </w:p>
    <w:p>
      <w:pPr>
        <w:spacing w:after="0" w:line="288" w:lineRule="auto"/>
        <w:sectPr>
          <w:pgSz w:w="11910" w:h="16840"/>
          <w:pgMar w:header="708" w:footer="783" w:top="980" w:bottom="980" w:left="1020" w:right="760"/>
        </w:sectPr>
      </w:pPr>
    </w:p>
    <w:p>
      <w:pPr>
        <w:pStyle w:val="BodyText"/>
        <w:spacing w:line="288" w:lineRule="auto" w:before="138"/>
        <w:ind w:left="114" w:right="652"/>
      </w:pPr>
      <w:r>
        <w:rPr/>
        <w:t>Resources covering all contexts, including online, and specifically relationships and bullying, alcohol, smoking, stress, body image: Public Health England website with videos made by young people and resources tested with teachers </w:t>
      </w:r>
      <w:hyperlink r:id="rId40">
        <w:r>
          <w:rPr>
            <w:color w:val="2B4FA2"/>
            <w:u w:val="single" w:color="2B4FA2"/>
          </w:rPr>
          <w:t>https://campaignresources.phe.gov.uk/schools/topics/rise-</w:t>
        </w:r>
      </w:hyperlink>
      <w:r>
        <w:rPr>
          <w:color w:val="2B4FA2"/>
        </w:rPr>
        <w:t> </w:t>
      </w:r>
      <w:hyperlink r:id="rId40">
        <w:r>
          <w:rPr>
            <w:color w:val="2B4FA2"/>
            <w:u w:val="single" w:color="2B4FA2"/>
          </w:rPr>
          <w:t>above/overview?WT.mc_id=RiseAboveforSchools_PSHEA_EdComs_Resource_listing_</w:t>
        </w:r>
      </w:hyperlink>
      <w:r>
        <w:rPr>
          <w:color w:val="2B4FA2"/>
        </w:rPr>
        <w:t> </w:t>
      </w:r>
      <w:hyperlink r:id="rId40">
        <w:r>
          <w:rPr>
            <w:color w:val="2B4FA2"/>
            <w:u w:val="single" w:color="2B4FA2"/>
          </w:rPr>
          <w:t>Sep17</w:t>
        </w:r>
      </w:hyperlink>
    </w:p>
    <w:p>
      <w:pPr>
        <w:pStyle w:val="BodyText"/>
        <w:spacing w:before="6"/>
        <w:rPr>
          <w:sz w:val="12"/>
        </w:rPr>
      </w:pPr>
    </w:p>
    <w:p>
      <w:pPr>
        <w:pStyle w:val="BodyText"/>
        <w:spacing w:before="96"/>
        <w:ind w:left="114" w:right="635"/>
      </w:pPr>
      <w:r>
        <w:rPr>
          <w:color w:val="2B4FA2"/>
          <w:u w:val="single" w:color="2B4FA2"/>
        </w:rPr>
        <w:t>Example model secondary curricula: </w:t>
      </w:r>
      <w:hyperlink r:id="rId52">
        <w:r>
          <w:rPr>
            <w:color w:val="2B4FA2"/>
            <w:u w:val="single" w:color="2B4FA2"/>
          </w:rPr>
          <w:t>http://catholiceducation.org.uk/schools/relationship-</w:t>
        </w:r>
      </w:hyperlink>
      <w:r>
        <w:rPr>
          <w:color w:val="2B4FA2"/>
        </w:rPr>
        <w:t> </w:t>
      </w:r>
      <w:r>
        <w:rPr>
          <w:color w:val="2B4FA2"/>
          <w:u w:val="single" w:color="2B4FA2"/>
        </w:rPr>
        <w:t>sex-education</w:t>
      </w:r>
    </w:p>
    <w:p>
      <w:pPr>
        <w:pStyle w:val="BodyText"/>
        <w:rPr>
          <w:sz w:val="20"/>
        </w:rPr>
      </w:pPr>
    </w:p>
    <w:p>
      <w:pPr>
        <w:spacing w:before="252"/>
        <w:ind w:left="114" w:right="0" w:firstLine="0"/>
        <w:jc w:val="left"/>
        <w:rPr>
          <w:b/>
          <w:sz w:val="32"/>
        </w:rPr>
      </w:pPr>
      <w:bookmarkStart w:name="Mental health" w:id="94"/>
      <w:bookmarkEnd w:id="94"/>
      <w:r>
        <w:rPr/>
      </w:r>
      <w:r>
        <w:rPr>
          <w:b/>
          <w:color w:val="02466C"/>
          <w:sz w:val="32"/>
        </w:rPr>
        <w:t>Mental health</w:t>
      </w:r>
    </w:p>
    <w:p>
      <w:pPr>
        <w:pStyle w:val="BodyText"/>
        <w:spacing w:line="288" w:lineRule="auto" w:before="238"/>
        <w:ind w:left="114" w:right="1141"/>
      </w:pPr>
      <w:r>
        <w:rPr/>
        <w:t>Mental health and emotional wellbeing: PSHE Association lesson plans </w:t>
      </w:r>
      <w:hyperlink r:id="rId57">
        <w:r>
          <w:rPr>
            <w:color w:val="2B4FA2"/>
            <w:u w:val="single" w:color="2B4FA2"/>
          </w:rPr>
          <w:t>https://www.pshe-association.org.uk/curriculum-and-resources/resources/guidance-</w:t>
        </w:r>
      </w:hyperlink>
      <w:r>
        <w:rPr>
          <w:color w:val="2B4FA2"/>
        </w:rPr>
        <w:t> </w:t>
      </w:r>
      <w:hyperlink r:id="rId57">
        <w:r>
          <w:rPr>
            <w:color w:val="2B4FA2"/>
            <w:u w:val="single" w:color="2B4FA2"/>
          </w:rPr>
          <w:t>preparing-teach-about-mental-health-and</w:t>
        </w:r>
      </w:hyperlink>
    </w:p>
    <w:p>
      <w:pPr>
        <w:pStyle w:val="BodyText"/>
        <w:spacing w:before="5"/>
        <w:rPr>
          <w:sz w:val="12"/>
        </w:rPr>
      </w:pPr>
    </w:p>
    <w:p>
      <w:pPr>
        <w:pStyle w:val="BodyText"/>
        <w:spacing w:line="288" w:lineRule="auto" w:before="97"/>
        <w:ind w:left="114" w:right="1870"/>
      </w:pPr>
      <w:r>
        <w:rPr/>
        <w:t>MindEd educational resources on children and young people’s mental health </w:t>
      </w:r>
      <w:r>
        <w:rPr>
          <w:color w:val="2B4FA2"/>
          <w:u w:val="single" w:color="2B4FA2"/>
        </w:rPr>
        <w:t>https:/</w:t>
      </w:r>
      <w:hyperlink r:id="rId58">
        <w:r>
          <w:rPr>
            <w:color w:val="2B4FA2"/>
            <w:u w:val="single" w:color="2B4FA2"/>
          </w:rPr>
          <w:t>/w</w:t>
        </w:r>
      </w:hyperlink>
      <w:r>
        <w:rPr>
          <w:color w:val="2B4FA2"/>
          <w:u w:val="single" w:color="2B4FA2"/>
        </w:rPr>
        <w:t>w</w:t>
      </w:r>
      <w:hyperlink r:id="rId58">
        <w:r>
          <w:rPr>
            <w:color w:val="2B4FA2"/>
            <w:u w:val="single" w:color="2B4FA2"/>
          </w:rPr>
          <w:t>w.minded.org.uk/</w:t>
        </w:r>
      </w:hyperlink>
    </w:p>
    <w:p>
      <w:pPr>
        <w:pStyle w:val="BodyText"/>
        <w:rPr>
          <w:sz w:val="20"/>
        </w:rPr>
      </w:pPr>
    </w:p>
    <w:p>
      <w:pPr>
        <w:spacing w:before="252"/>
        <w:ind w:left="114" w:right="0" w:firstLine="0"/>
        <w:jc w:val="left"/>
        <w:rPr>
          <w:b/>
          <w:sz w:val="32"/>
        </w:rPr>
      </w:pPr>
      <w:bookmarkStart w:name="Online safety" w:id="95"/>
      <w:bookmarkEnd w:id="95"/>
      <w:r>
        <w:rPr/>
      </w:r>
      <w:r>
        <w:rPr>
          <w:b/>
          <w:color w:val="02466C"/>
          <w:sz w:val="32"/>
        </w:rPr>
        <w:t>Online safety</w:t>
      </w:r>
    </w:p>
    <w:p>
      <w:pPr>
        <w:pStyle w:val="BodyText"/>
        <w:spacing w:line="288" w:lineRule="auto" w:before="238"/>
        <w:ind w:left="114" w:right="604"/>
      </w:pPr>
      <w:r>
        <w:rPr/>
        <w:t>Education for a Connected World: UKCCIS framework of digital knowledge and skills for different ages and stages </w:t>
      </w:r>
      <w:hyperlink r:id="rId59">
        <w:r>
          <w:rPr>
            <w:color w:val="2B4FA2"/>
            <w:u w:val="single" w:color="2B4FA2"/>
          </w:rPr>
          <w:t>https://assets.publishing.service.gov.uk/government/uploads/system/uploads/attachment</w:t>
        </w:r>
      </w:hyperlink>
    </w:p>
    <w:p>
      <w:pPr>
        <w:pStyle w:val="BodyText"/>
        <w:ind w:left="114"/>
      </w:pPr>
      <w:hyperlink r:id="rId59">
        <w:r>
          <w:rPr>
            <w:color w:val="2B4FA2"/>
            <w:u w:val="single" w:color="2B4FA2"/>
          </w:rPr>
          <w:t>_data/file/683895/Education_for_a_connected_world_PDF.PDF</w:t>
        </w:r>
      </w:hyperlink>
    </w:p>
    <w:p>
      <w:pPr>
        <w:pStyle w:val="BodyText"/>
        <w:spacing w:before="4"/>
        <w:rPr>
          <w:sz w:val="17"/>
        </w:rPr>
      </w:pPr>
    </w:p>
    <w:p>
      <w:pPr>
        <w:pStyle w:val="BodyText"/>
        <w:spacing w:line="288" w:lineRule="auto" w:before="96"/>
        <w:ind w:left="114" w:right="684"/>
      </w:pPr>
      <w:r>
        <w:rPr/>
        <w:t>Sexting: UKCCIS advice for schools on preventative education and managing reports of sexting.</w:t>
      </w:r>
    </w:p>
    <w:p>
      <w:pPr>
        <w:pStyle w:val="BodyText"/>
        <w:ind w:left="113"/>
      </w:pPr>
      <w:hyperlink r:id="rId60">
        <w:r>
          <w:rPr>
            <w:color w:val="2B4FA2"/>
            <w:u w:val="single" w:color="2B4FA2"/>
          </w:rPr>
          <w:t>https://www.gov.uk/government/groups/uk-council-for-child-internet-safety-ukccis</w:t>
        </w:r>
      </w:hyperlink>
    </w:p>
    <w:p>
      <w:pPr>
        <w:pStyle w:val="BodyText"/>
        <w:spacing w:before="4"/>
        <w:rPr>
          <w:sz w:val="17"/>
        </w:rPr>
      </w:pPr>
    </w:p>
    <w:p>
      <w:pPr>
        <w:pStyle w:val="BodyText"/>
        <w:spacing w:line="288" w:lineRule="auto" w:before="96"/>
        <w:ind w:left="113" w:right="551"/>
      </w:pPr>
      <w:r>
        <w:rPr/>
        <w:t>Thinkuknow is the education programme from National Crime Agency (NCA)-Child Exploitation Online Programme (CEOP), which protects children both online and offline. The site offers materials for parents, teachers and pupils on a wide range of online safety issues and facts about areas such as digital footprints, recognising fake websites and checking URLs. </w:t>
      </w:r>
      <w:hyperlink r:id="rId61">
        <w:r>
          <w:rPr>
            <w:color w:val="2B4FA2"/>
            <w:u w:val="single" w:color="2B4FA2"/>
          </w:rPr>
          <w:t>https://www.thinkuknow.co.uk/</w:t>
        </w:r>
      </w:hyperlink>
    </w:p>
    <w:p>
      <w:pPr>
        <w:pStyle w:val="BodyText"/>
        <w:rPr>
          <w:sz w:val="20"/>
        </w:rPr>
      </w:pPr>
    </w:p>
    <w:p>
      <w:pPr>
        <w:spacing w:before="252"/>
        <w:ind w:left="114" w:right="0" w:firstLine="0"/>
        <w:jc w:val="left"/>
        <w:rPr>
          <w:b/>
          <w:sz w:val="32"/>
        </w:rPr>
      </w:pPr>
      <w:bookmarkStart w:name="PSHE" w:id="96"/>
      <w:bookmarkEnd w:id="96"/>
      <w:r>
        <w:rPr/>
      </w:r>
      <w:r>
        <w:rPr>
          <w:b/>
          <w:color w:val="02466C"/>
          <w:sz w:val="32"/>
        </w:rPr>
        <w:t>PSHE</w:t>
      </w:r>
    </w:p>
    <w:p>
      <w:pPr>
        <w:pStyle w:val="BodyText"/>
        <w:spacing w:before="237"/>
        <w:ind w:left="114"/>
      </w:pPr>
      <w:r>
        <w:rPr/>
        <w:t>PSHE Association Programme of study for KS1-5</w:t>
      </w:r>
    </w:p>
    <w:p>
      <w:pPr>
        <w:pStyle w:val="BodyText"/>
        <w:spacing w:line="288" w:lineRule="auto" w:before="55"/>
        <w:ind w:left="114" w:right="887"/>
      </w:pPr>
      <w:hyperlink r:id="rId62">
        <w:r>
          <w:rPr>
            <w:color w:val="2B4FA2"/>
            <w:u w:val="single" w:color="2B4FA2"/>
          </w:rPr>
          <w:t>https://www.pshe-association.org.uk/curriculum-and-resources/resources/programme-</w:t>
        </w:r>
      </w:hyperlink>
      <w:r>
        <w:rPr>
          <w:color w:val="2B4FA2"/>
        </w:rPr>
        <w:t> </w:t>
      </w:r>
      <w:hyperlink r:id="rId62">
        <w:r>
          <w:rPr>
            <w:color w:val="2B4FA2"/>
            <w:u w:val="single" w:color="2B4FA2"/>
          </w:rPr>
          <w:t>study-pshe-education-key-stages-1%E2%80%935</w:t>
        </w:r>
      </w:hyperlink>
    </w:p>
    <w:p>
      <w:pPr>
        <w:spacing w:after="0" w:line="288" w:lineRule="auto"/>
        <w:sectPr>
          <w:pgSz w:w="11910" w:h="16840"/>
          <w:pgMar w:header="708" w:footer="783" w:top="980" w:bottom="980" w:left="1020" w:right="760"/>
        </w:sectPr>
      </w:pPr>
    </w:p>
    <w:p>
      <w:pPr>
        <w:spacing w:before="140"/>
        <w:ind w:left="114" w:right="0" w:firstLine="0"/>
        <w:jc w:val="left"/>
        <w:rPr>
          <w:b/>
          <w:sz w:val="32"/>
        </w:rPr>
      </w:pPr>
      <w:bookmarkStart w:name="Drugs and alcohol" w:id="97"/>
      <w:bookmarkEnd w:id="97"/>
      <w:r>
        <w:rPr/>
      </w:r>
      <w:r>
        <w:rPr>
          <w:b/>
          <w:color w:val="02466C"/>
          <w:sz w:val="32"/>
        </w:rPr>
        <w:t>Drugs and alcohol</w:t>
      </w:r>
    </w:p>
    <w:p>
      <w:pPr>
        <w:pStyle w:val="BodyText"/>
        <w:spacing w:line="288" w:lineRule="auto" w:before="239"/>
        <w:ind w:left="113" w:right="991"/>
      </w:pPr>
      <w:r>
        <w:rPr/>
        <w:t>Planning effective drug and alcohol education: Mentor-ADEPIS research and briefing papers with ideas for lessons </w:t>
      </w:r>
      <w:hyperlink r:id="rId63">
        <w:r>
          <w:rPr>
            <w:color w:val="2B4FA2"/>
            <w:u w:val="single" w:color="2B4FA2"/>
          </w:rPr>
          <w:t>http://mentor-adepis.org/planning-effective-education/</w:t>
        </w:r>
      </w:hyperlink>
    </w:p>
    <w:p>
      <w:pPr>
        <w:pStyle w:val="BodyText"/>
        <w:rPr>
          <w:sz w:val="20"/>
        </w:rPr>
      </w:pPr>
    </w:p>
    <w:p>
      <w:pPr>
        <w:spacing w:before="251"/>
        <w:ind w:left="114" w:right="0" w:firstLine="0"/>
        <w:jc w:val="left"/>
        <w:rPr>
          <w:b/>
          <w:sz w:val="32"/>
        </w:rPr>
      </w:pPr>
      <w:bookmarkStart w:name="Extremism and radicalisation" w:id="98"/>
      <w:bookmarkEnd w:id="98"/>
      <w:r>
        <w:rPr/>
      </w:r>
      <w:r>
        <w:rPr>
          <w:b/>
          <w:color w:val="02466C"/>
          <w:sz w:val="32"/>
        </w:rPr>
        <w:t>Extremism and radicalisation</w:t>
      </w:r>
    </w:p>
    <w:p>
      <w:pPr>
        <w:pStyle w:val="BodyText"/>
        <w:spacing w:line="288" w:lineRule="auto" w:before="238"/>
        <w:ind w:left="114" w:right="1297"/>
      </w:pPr>
      <w:r>
        <w:rPr/>
        <w:t>Practical advice and information for teachers, teachers in leadership positions and parents on protecting children from extremism and radicalisation </w:t>
      </w:r>
      <w:hyperlink r:id="rId64">
        <w:r>
          <w:rPr>
            <w:color w:val="2B4FA2"/>
            <w:u w:val="single" w:color="2B4FA2"/>
          </w:rPr>
          <w:t>www.educateagainsthate.com</w:t>
        </w:r>
      </w:hyperlink>
    </w:p>
    <w:p>
      <w:pPr>
        <w:pStyle w:val="BodyText"/>
        <w:rPr>
          <w:sz w:val="20"/>
        </w:rPr>
      </w:pPr>
    </w:p>
    <w:p>
      <w:pPr>
        <w:spacing w:before="252"/>
        <w:ind w:left="114" w:right="0" w:firstLine="0"/>
        <w:jc w:val="left"/>
        <w:rPr>
          <w:b/>
          <w:sz w:val="32"/>
        </w:rPr>
      </w:pPr>
      <w:bookmarkStart w:name="Curriculum" w:id="99"/>
      <w:bookmarkEnd w:id="99"/>
      <w:r>
        <w:rPr/>
      </w:r>
      <w:r>
        <w:rPr>
          <w:b/>
          <w:color w:val="02466C"/>
          <w:sz w:val="32"/>
        </w:rPr>
        <w:t>Curriculum</w:t>
      </w:r>
    </w:p>
    <w:p>
      <w:pPr>
        <w:pStyle w:val="BodyText"/>
        <w:spacing w:line="288" w:lineRule="auto" w:before="238"/>
        <w:ind w:left="114" w:right="592"/>
      </w:pPr>
      <w:hyperlink r:id="rId65">
        <w:r>
          <w:rPr>
            <w:color w:val="2B4FA2"/>
            <w:u w:val="single" w:color="2B4FA2"/>
          </w:rPr>
          <w:t>Non-statutory framework for Citizenship KS 1 and 2</w:t>
        </w:r>
        <w:r>
          <w:rPr>
            <w:color w:val="2B4FA2"/>
          </w:rPr>
          <w:t> </w:t>
        </w:r>
      </w:hyperlink>
      <w:r>
        <w:rPr/>
        <w:t>(Non-statutory programme of study). Schools may wish to draw on the Citizenship programme of study in their planning.</w:t>
      </w:r>
    </w:p>
    <w:p>
      <w:pPr>
        <w:pStyle w:val="BodyText"/>
        <w:spacing w:before="9"/>
        <w:rPr>
          <w:sz w:val="41"/>
        </w:rPr>
      </w:pPr>
    </w:p>
    <w:p>
      <w:pPr>
        <w:spacing w:before="1"/>
        <w:ind w:left="114" w:right="1301" w:firstLine="0"/>
        <w:jc w:val="left"/>
        <w:rPr>
          <w:b/>
          <w:sz w:val="32"/>
        </w:rPr>
      </w:pPr>
      <w:bookmarkStart w:name="Data to understand the health and wellbe" w:id="100"/>
      <w:bookmarkEnd w:id="100"/>
      <w:r>
        <w:rPr/>
      </w:r>
      <w:r>
        <w:rPr>
          <w:b/>
          <w:color w:val="02466C"/>
          <w:sz w:val="32"/>
        </w:rPr>
        <w:t>Data to understand the health and wellbeing needs of the local school-age population</w:t>
      </w:r>
    </w:p>
    <w:p>
      <w:pPr>
        <w:pStyle w:val="BodyText"/>
        <w:spacing w:line="288" w:lineRule="auto" w:before="239"/>
        <w:ind w:left="114" w:right="564"/>
      </w:pPr>
      <w:r>
        <w:rPr/>
        <w:t>Public Health England’s Child and Maternal Health Intelligence Network </w:t>
      </w:r>
      <w:hyperlink r:id="rId66">
        <w:r>
          <w:rPr>
            <w:color w:val="2B4FA2"/>
            <w:u w:val="single" w:color="2B4FA2"/>
          </w:rPr>
          <w:t>https://fingertips.phe.org.uk/profile-group/child-health</w:t>
        </w:r>
        <w:r>
          <w:rPr>
            <w:color w:val="2B4FA2"/>
          </w:rPr>
          <w:t> </w:t>
        </w:r>
      </w:hyperlink>
      <w:r>
        <w:rPr/>
        <w:t>brings together a range of publicly available data, information, </w:t>
      </w:r>
      <w:hyperlink r:id="rId67">
        <w:r>
          <w:rPr>
            <w:color w:val="2B4FA2"/>
            <w:u w:val="single" w:color="2B4FA2"/>
          </w:rPr>
          <w:t>reports</w:t>
        </w:r>
      </w:hyperlink>
      <w:r>
        <w:rPr/>
        <w:t>, tools and resources on child and maternal health into one easily accessible hub.</w:t>
      </w:r>
    </w:p>
    <w:p>
      <w:pPr>
        <w:pStyle w:val="BodyText"/>
        <w:spacing w:line="288" w:lineRule="auto" w:before="240"/>
        <w:ind w:left="114" w:right="1046"/>
      </w:pPr>
      <w:r>
        <w:rPr/>
        <w:t>It includes school-age health profiles: </w:t>
      </w:r>
      <w:hyperlink r:id="rId68">
        <w:r>
          <w:rPr>
            <w:color w:val="2B4FA2"/>
            <w:u w:val="single" w:color="2B4FA2"/>
          </w:rPr>
          <w:t>https://fingertips.phe.org.uk/profile-group/child-</w:t>
        </w:r>
      </w:hyperlink>
      <w:r>
        <w:rPr>
          <w:color w:val="2B4FA2"/>
        </w:rPr>
        <w:t> </w:t>
      </w:r>
      <w:hyperlink r:id="rId68">
        <w:r>
          <w:rPr>
            <w:color w:val="2B4FA2"/>
            <w:u w:val="single" w:color="2B4FA2"/>
          </w:rPr>
          <w:t>health/profile/child-health-school-age</w:t>
        </w:r>
      </w:hyperlink>
    </w:p>
    <w:p>
      <w:pPr>
        <w:pStyle w:val="BodyText"/>
        <w:spacing w:before="6"/>
        <w:rPr>
          <w:sz w:val="12"/>
        </w:rPr>
      </w:pPr>
    </w:p>
    <w:p>
      <w:pPr>
        <w:pStyle w:val="BodyText"/>
        <w:spacing w:line="288" w:lineRule="auto" w:before="96"/>
        <w:ind w:left="114" w:right="1284"/>
      </w:pPr>
      <w:r>
        <w:rPr/>
        <w:t>and young people’s health profiles: </w:t>
      </w:r>
      <w:hyperlink r:id="rId69">
        <w:r>
          <w:rPr>
            <w:color w:val="2B4FA2"/>
            <w:u w:val="single" w:color="2B4FA2"/>
          </w:rPr>
          <w:t>https://fingertips.phe.org.uk/profile-group/child-</w:t>
        </w:r>
      </w:hyperlink>
      <w:r>
        <w:rPr>
          <w:color w:val="2B4FA2"/>
        </w:rPr>
        <w:t> </w:t>
      </w:r>
      <w:hyperlink r:id="rId69">
        <w:r>
          <w:rPr>
            <w:color w:val="2B4FA2"/>
            <w:u w:val="single" w:color="2B4FA2"/>
          </w:rPr>
          <w:t>health/profile/child-health-young-people</w:t>
        </w:r>
      </w:hyperlink>
    </w:p>
    <w:p>
      <w:pPr>
        <w:pStyle w:val="BodyText"/>
        <w:spacing w:before="6"/>
        <w:rPr>
          <w:sz w:val="12"/>
        </w:rPr>
      </w:pPr>
    </w:p>
    <w:p>
      <w:pPr>
        <w:pStyle w:val="BodyText"/>
        <w:spacing w:line="288" w:lineRule="auto" w:before="96"/>
        <w:ind w:left="114" w:right="563"/>
      </w:pPr>
      <w:r>
        <w:rPr/>
        <w:t>The indicators allow areas to see how they perform against the national average and against other local areas. These tools, accompanied by local health intelligence, will be useful in supporting schools to identify and respond to the particular health and wellbeing needs of their local school-age population.</w:t>
      </w:r>
    </w:p>
    <w:p>
      <w:pPr>
        <w:pStyle w:val="BodyText"/>
        <w:spacing w:line="288" w:lineRule="auto" w:before="240"/>
        <w:ind w:left="114" w:right="1300"/>
      </w:pPr>
      <w:r>
        <w:rPr/>
        <w:t>There are also early years profiles: </w:t>
      </w:r>
      <w:hyperlink r:id="rId70">
        <w:r>
          <w:rPr>
            <w:color w:val="2B4FA2"/>
            <w:u w:val="single" w:color="2B4FA2"/>
          </w:rPr>
          <w:t>https://fingertips.phe.org.uk/profile-group/child-</w:t>
        </w:r>
      </w:hyperlink>
      <w:r>
        <w:rPr>
          <w:color w:val="2B4FA2"/>
        </w:rPr>
        <w:t> </w:t>
      </w:r>
      <w:hyperlink r:id="rId70">
        <w:r>
          <w:rPr>
            <w:color w:val="2B4FA2"/>
            <w:u w:val="single" w:color="2B4FA2"/>
          </w:rPr>
          <w:t>health/profile/child-health-early-years</w:t>
        </w:r>
      </w:hyperlink>
    </w:p>
    <w:p>
      <w:pPr>
        <w:spacing w:after="0" w:line="288" w:lineRule="auto"/>
        <w:sectPr>
          <w:pgSz w:w="11910" w:h="16840"/>
          <w:pgMar w:header="708" w:footer="783" w:top="980" w:bottom="980" w:left="1020" w:right="760"/>
        </w:sectPr>
      </w:pPr>
    </w:p>
    <w:p>
      <w:pPr>
        <w:pStyle w:val="Heading1"/>
      </w:pPr>
      <w:bookmarkStart w:name="Annex C Cross-government strategies" w:id="101"/>
      <w:bookmarkEnd w:id="101"/>
      <w:r>
        <w:rPr>
          <w:b w:val="0"/>
        </w:rPr>
      </w:r>
      <w:bookmarkStart w:name="_bookmark48" w:id="102"/>
      <w:bookmarkEnd w:id="102"/>
      <w:r>
        <w:rPr>
          <w:b w:val="0"/>
        </w:rPr>
      </w:r>
      <w:r>
        <w:rPr>
          <w:color w:val="02466C"/>
        </w:rPr>
        <w:t>Annex C Cross-government strategies</w:t>
      </w:r>
    </w:p>
    <w:p>
      <w:pPr>
        <w:pStyle w:val="BodyText"/>
        <w:spacing w:line="288" w:lineRule="auto" w:before="238"/>
        <w:ind w:left="113" w:right="699"/>
      </w:pPr>
      <w:r>
        <w:rPr/>
        <w:t>These subjects support many cross-government strategies of which schools will want to be aware. Whilst we have not referenced all strategies or supporting documents, we have included some of the key areas below.</w:t>
      </w:r>
    </w:p>
    <w:p>
      <w:pPr>
        <w:pStyle w:val="ListParagraph"/>
        <w:numPr>
          <w:ilvl w:val="1"/>
          <w:numId w:val="23"/>
        </w:numPr>
        <w:tabs>
          <w:tab w:pos="1193" w:val="left" w:leader="none"/>
          <w:tab w:pos="1194" w:val="left" w:leader="none"/>
        </w:tabs>
        <w:spacing w:line="285" w:lineRule="auto" w:before="240" w:after="0"/>
        <w:ind w:left="1194" w:right="978" w:hanging="360"/>
        <w:jc w:val="left"/>
        <w:rPr>
          <w:rFonts w:ascii="Symbol" w:hAnsi="Symbol"/>
          <w:color w:val="111111"/>
          <w:sz w:val="24"/>
        </w:rPr>
      </w:pPr>
      <w:hyperlink r:id="rId71">
        <w:r>
          <w:rPr>
            <w:color w:val="2B4FA2"/>
            <w:sz w:val="24"/>
            <w:u w:val="single" w:color="2B4FA2"/>
          </w:rPr>
          <w:t>Transforming children and young people’s mental health provision</w:t>
        </w:r>
      </w:hyperlink>
      <w:r>
        <w:rPr>
          <w:sz w:val="24"/>
        </w:rPr>
        <w:t>: a green paper. The green paper announced new support in and near schools and colleges to support children and young people with their mental</w:t>
      </w:r>
      <w:r>
        <w:rPr>
          <w:spacing w:val="-18"/>
          <w:sz w:val="24"/>
        </w:rPr>
        <w:t> </w:t>
      </w:r>
      <w:r>
        <w:rPr>
          <w:sz w:val="24"/>
        </w:rPr>
        <w:t>health.</w:t>
      </w:r>
    </w:p>
    <w:p>
      <w:pPr>
        <w:pStyle w:val="ListParagraph"/>
        <w:numPr>
          <w:ilvl w:val="1"/>
          <w:numId w:val="23"/>
        </w:numPr>
        <w:tabs>
          <w:tab w:pos="1194" w:val="left" w:leader="none"/>
        </w:tabs>
        <w:spacing w:line="285" w:lineRule="auto" w:before="122" w:after="0"/>
        <w:ind w:left="1193" w:right="565" w:hanging="360"/>
        <w:jc w:val="both"/>
        <w:rPr>
          <w:rFonts w:ascii="Symbol" w:hAnsi="Symbol"/>
          <w:color w:val="111111"/>
          <w:sz w:val="24"/>
        </w:rPr>
      </w:pPr>
      <w:r>
        <w:rPr>
          <w:sz w:val="24"/>
        </w:rPr>
        <w:t>The</w:t>
      </w:r>
      <w:r>
        <w:rPr>
          <w:color w:val="2B4FA2"/>
          <w:sz w:val="24"/>
        </w:rPr>
        <w:t> </w:t>
      </w:r>
      <w:hyperlink r:id="rId72">
        <w:r>
          <w:rPr>
            <w:color w:val="2B4FA2"/>
            <w:sz w:val="24"/>
            <w:u w:val="single" w:color="2B4FA2"/>
          </w:rPr>
          <w:t>drug strategy</w:t>
        </w:r>
        <w:r>
          <w:rPr>
            <w:color w:val="2B4FA2"/>
            <w:sz w:val="24"/>
          </w:rPr>
          <w:t> </w:t>
        </w:r>
      </w:hyperlink>
      <w:r>
        <w:rPr>
          <w:sz w:val="24"/>
        </w:rPr>
        <w:t>2017 sets out how the government and its partners, at local, national and international levels, will take new action to tackle drug misuse and the harms it causes.</w:t>
      </w:r>
    </w:p>
    <w:p>
      <w:pPr>
        <w:pStyle w:val="ListParagraph"/>
        <w:numPr>
          <w:ilvl w:val="1"/>
          <w:numId w:val="23"/>
        </w:numPr>
        <w:tabs>
          <w:tab w:pos="1193" w:val="left" w:leader="none"/>
          <w:tab w:pos="1194" w:val="left" w:leader="none"/>
        </w:tabs>
        <w:spacing w:line="283" w:lineRule="auto" w:before="124" w:after="0"/>
        <w:ind w:left="1194" w:right="1167" w:hanging="360"/>
        <w:jc w:val="left"/>
        <w:rPr>
          <w:rFonts w:ascii="Symbol" w:hAnsi="Symbol"/>
          <w:color w:val="111111"/>
          <w:sz w:val="24"/>
        </w:rPr>
      </w:pPr>
      <w:hyperlink r:id="rId73">
        <w:r>
          <w:rPr>
            <w:color w:val="2B4FA2"/>
            <w:sz w:val="24"/>
            <w:u w:val="single" w:color="2B4FA2"/>
          </w:rPr>
          <w:t>Internet Safety Strategy</w:t>
        </w:r>
        <w:r>
          <w:rPr>
            <w:color w:val="2B4FA2"/>
            <w:sz w:val="24"/>
          </w:rPr>
          <w:t> </w:t>
        </w:r>
      </w:hyperlink>
      <w:r>
        <w:rPr>
          <w:sz w:val="24"/>
        </w:rPr>
        <w:t>green paper sets out steps towards developing a coordinated strategic approach to online</w:t>
      </w:r>
      <w:r>
        <w:rPr>
          <w:spacing w:val="-4"/>
          <w:sz w:val="24"/>
        </w:rPr>
        <w:t> </w:t>
      </w:r>
      <w:r>
        <w:rPr>
          <w:sz w:val="24"/>
        </w:rPr>
        <w:t>safety.</w:t>
      </w:r>
    </w:p>
    <w:p>
      <w:pPr>
        <w:pStyle w:val="ListParagraph"/>
        <w:numPr>
          <w:ilvl w:val="1"/>
          <w:numId w:val="23"/>
        </w:numPr>
        <w:tabs>
          <w:tab w:pos="1193" w:val="left" w:leader="none"/>
          <w:tab w:pos="1194" w:val="left" w:leader="none"/>
        </w:tabs>
        <w:spacing w:line="285" w:lineRule="auto" w:before="125" w:after="0"/>
        <w:ind w:left="1194" w:right="540" w:hanging="360"/>
        <w:jc w:val="left"/>
        <w:rPr>
          <w:rFonts w:ascii="Symbol" w:hAnsi="Symbol"/>
          <w:color w:val="111111"/>
          <w:sz w:val="24"/>
        </w:rPr>
      </w:pPr>
      <w:r>
        <w:rPr>
          <w:sz w:val="24"/>
        </w:rPr>
        <w:t>The Children’s Commissioner</w:t>
      </w:r>
      <w:r>
        <w:rPr>
          <w:color w:val="2B4FA2"/>
          <w:sz w:val="24"/>
        </w:rPr>
        <w:t> </w:t>
      </w:r>
      <w:hyperlink r:id="rId74">
        <w:r>
          <w:rPr>
            <w:color w:val="2B4FA2"/>
            <w:sz w:val="24"/>
            <w:u w:val="single" w:color="2B4FA2"/>
          </w:rPr>
          <w:t>Digital 5 A Day</w:t>
        </w:r>
        <w:r>
          <w:rPr>
            <w:color w:val="2B4FA2"/>
            <w:sz w:val="24"/>
          </w:rPr>
          <w:t> </w:t>
        </w:r>
      </w:hyperlink>
      <w:r>
        <w:rPr>
          <w:sz w:val="24"/>
        </w:rPr>
        <w:t>provides a simple framework that reflects the concerns of parents as well as children’s behaviours and</w:t>
      </w:r>
      <w:r>
        <w:rPr>
          <w:spacing w:val="-24"/>
          <w:sz w:val="24"/>
        </w:rPr>
        <w:t> </w:t>
      </w:r>
      <w:r>
        <w:rPr>
          <w:sz w:val="24"/>
        </w:rPr>
        <w:t>needs.</w:t>
      </w:r>
    </w:p>
    <w:p>
      <w:pPr>
        <w:pStyle w:val="ListParagraph"/>
        <w:numPr>
          <w:ilvl w:val="1"/>
          <w:numId w:val="23"/>
        </w:numPr>
        <w:tabs>
          <w:tab w:pos="1193" w:val="left" w:leader="none"/>
          <w:tab w:pos="1194" w:val="left" w:leader="none"/>
        </w:tabs>
        <w:spacing w:line="285" w:lineRule="auto" w:before="121" w:after="0"/>
        <w:ind w:left="1194" w:right="712" w:hanging="360"/>
        <w:jc w:val="left"/>
        <w:rPr>
          <w:rFonts w:ascii="Symbol" w:hAnsi="Symbol"/>
          <w:color w:val="111111"/>
          <w:sz w:val="24"/>
        </w:rPr>
      </w:pPr>
      <w:r>
        <w:rPr>
          <w:sz w:val="24"/>
        </w:rPr>
        <w:t>Government aims to significantly reduce England’s rate of childhood obesity within the next ten years. The</w:t>
      </w:r>
      <w:r>
        <w:rPr>
          <w:color w:val="2B4FA2"/>
          <w:sz w:val="24"/>
        </w:rPr>
        <w:t> </w:t>
      </w:r>
      <w:hyperlink r:id="rId75">
        <w:r>
          <w:rPr>
            <w:color w:val="2B4FA2"/>
            <w:sz w:val="24"/>
            <w:u w:val="single" w:color="2B4FA2"/>
          </w:rPr>
          <w:t>childhood obesity plan</w:t>
        </w:r>
        <w:r>
          <w:rPr>
            <w:color w:val="2B4FA2"/>
            <w:sz w:val="24"/>
          </w:rPr>
          <w:t> </w:t>
        </w:r>
      </w:hyperlink>
      <w:r>
        <w:rPr>
          <w:sz w:val="24"/>
        </w:rPr>
        <w:t>sets out the approach to reduce childhood</w:t>
      </w:r>
      <w:r>
        <w:rPr>
          <w:spacing w:val="-1"/>
          <w:sz w:val="24"/>
        </w:rPr>
        <w:t> </w:t>
      </w:r>
      <w:r>
        <w:rPr>
          <w:sz w:val="24"/>
        </w:rPr>
        <w:t>obesity.</w:t>
      </w:r>
    </w:p>
    <w:p>
      <w:pPr>
        <w:pStyle w:val="ListParagraph"/>
        <w:numPr>
          <w:ilvl w:val="1"/>
          <w:numId w:val="23"/>
        </w:numPr>
        <w:tabs>
          <w:tab w:pos="1193" w:val="left" w:leader="none"/>
          <w:tab w:pos="1194" w:val="left" w:leader="none"/>
        </w:tabs>
        <w:spacing w:line="283" w:lineRule="auto" w:before="123" w:after="0"/>
        <w:ind w:left="1194" w:right="729" w:hanging="360"/>
        <w:jc w:val="left"/>
        <w:rPr>
          <w:rFonts w:ascii="Symbol" w:hAnsi="Symbol"/>
          <w:color w:val="111111"/>
          <w:sz w:val="24"/>
        </w:rPr>
      </w:pPr>
      <w:hyperlink r:id="rId76">
        <w:r>
          <w:rPr>
            <w:color w:val="2B4FA2"/>
            <w:sz w:val="24"/>
            <w:u w:val="single" w:color="2B4FA2"/>
          </w:rPr>
          <w:t>Guidance</w:t>
        </w:r>
        <w:r>
          <w:rPr>
            <w:color w:val="2B4FA2"/>
            <w:sz w:val="24"/>
          </w:rPr>
          <w:t> </w:t>
        </w:r>
      </w:hyperlink>
      <w:r>
        <w:rPr>
          <w:sz w:val="24"/>
        </w:rPr>
        <w:t>from the Chief Medical Office (CMO) on how much physical activity people should be doing, along with supporting</w:t>
      </w:r>
      <w:r>
        <w:rPr>
          <w:spacing w:val="-4"/>
          <w:sz w:val="24"/>
        </w:rPr>
        <w:t> </w:t>
      </w:r>
      <w:r>
        <w:rPr>
          <w:sz w:val="24"/>
        </w:rPr>
        <w:t>documents.</w:t>
      </w:r>
    </w:p>
    <w:p>
      <w:pPr>
        <w:pStyle w:val="ListParagraph"/>
        <w:numPr>
          <w:ilvl w:val="1"/>
          <w:numId w:val="23"/>
        </w:numPr>
        <w:tabs>
          <w:tab w:pos="1193" w:val="left" w:leader="none"/>
          <w:tab w:pos="1194" w:val="left" w:leader="none"/>
        </w:tabs>
        <w:spacing w:line="288" w:lineRule="auto" w:before="125" w:after="0"/>
        <w:ind w:left="1194" w:right="657" w:hanging="360"/>
        <w:jc w:val="left"/>
        <w:rPr>
          <w:rFonts w:ascii="Symbol" w:hAnsi="Symbol"/>
          <w:color w:val="111111"/>
          <w:sz w:val="24"/>
        </w:rPr>
      </w:pPr>
      <w:r>
        <w:rPr>
          <w:sz w:val="24"/>
        </w:rPr>
        <w:t>Over the last 18 years, the teenage pregnancy rate has reduced by 60%. However, a continued focus is needed to maintain the downward trend and narrow inequalities in rates between and within local authorities. The</w:t>
      </w:r>
      <w:r>
        <w:rPr>
          <w:color w:val="2B4FA2"/>
          <w:sz w:val="24"/>
        </w:rPr>
        <w:t> </w:t>
      </w:r>
      <w:hyperlink r:id="rId77">
        <w:r>
          <w:rPr>
            <w:color w:val="2B4FA2"/>
            <w:sz w:val="24"/>
            <w:u w:val="single" w:color="2B4FA2"/>
          </w:rPr>
          <w:t>Teenage</w:t>
        </w:r>
      </w:hyperlink>
      <w:hyperlink r:id="rId77">
        <w:r>
          <w:rPr>
            <w:color w:val="2B4FA2"/>
            <w:sz w:val="24"/>
            <w:u w:val="single" w:color="2B4FA2"/>
          </w:rPr>
          <w:t> Pregnancy prevention framework</w:t>
        </w:r>
        <w:r>
          <w:rPr>
            <w:color w:val="2B4FA2"/>
            <w:sz w:val="24"/>
          </w:rPr>
          <w:t> </w:t>
        </w:r>
      </w:hyperlink>
      <w:r>
        <w:rPr>
          <w:sz w:val="24"/>
        </w:rPr>
        <w:t>provides evidence based guidance for local authorities, including the important role of RSE and links to local sexual health services.</w:t>
      </w:r>
    </w:p>
    <w:p>
      <w:pPr>
        <w:pStyle w:val="ListParagraph"/>
        <w:numPr>
          <w:ilvl w:val="1"/>
          <w:numId w:val="23"/>
        </w:numPr>
        <w:tabs>
          <w:tab w:pos="1193" w:val="left" w:leader="none"/>
          <w:tab w:pos="1194" w:val="left" w:leader="none"/>
        </w:tabs>
        <w:spacing w:line="288" w:lineRule="auto" w:before="115" w:after="0"/>
        <w:ind w:left="1194" w:right="752" w:hanging="360"/>
        <w:jc w:val="left"/>
        <w:rPr>
          <w:rFonts w:ascii="Symbol" w:hAnsi="Symbol"/>
          <w:color w:val="111111"/>
          <w:sz w:val="24"/>
        </w:rPr>
      </w:pPr>
      <w:r>
        <w:rPr>
          <w:sz w:val="24"/>
        </w:rPr>
        <w:t>Sustaining the downward trend and making further progress is one of the key objectives of the Department of Health and Social Care’s</w:t>
      </w:r>
      <w:r>
        <w:rPr>
          <w:color w:val="2B4FA2"/>
          <w:sz w:val="24"/>
        </w:rPr>
        <w:t> </w:t>
      </w:r>
      <w:hyperlink r:id="rId78">
        <w:r>
          <w:rPr>
            <w:color w:val="2B4FA2"/>
            <w:sz w:val="24"/>
            <w:u w:val="single" w:color="2B4FA2"/>
          </w:rPr>
          <w:t>Framework for</w:t>
        </w:r>
      </w:hyperlink>
      <w:hyperlink r:id="rId78">
        <w:r>
          <w:rPr>
            <w:color w:val="2B4FA2"/>
            <w:sz w:val="24"/>
            <w:u w:val="single" w:color="2B4FA2"/>
          </w:rPr>
          <w:t> Sexual Health Improvement in England</w:t>
        </w:r>
      </w:hyperlink>
      <w:r>
        <w:rPr>
          <w:sz w:val="24"/>
        </w:rPr>
        <w:t>. These subjects provide a key opportunity to strengthen support for young people to develop healthy relationships and prevent early unplanned</w:t>
      </w:r>
      <w:r>
        <w:rPr>
          <w:spacing w:val="-3"/>
          <w:sz w:val="24"/>
        </w:rPr>
        <w:t> </w:t>
      </w:r>
      <w:r>
        <w:rPr>
          <w:sz w:val="24"/>
        </w:rPr>
        <w:t>pregnancy.</w:t>
      </w:r>
    </w:p>
    <w:p>
      <w:pPr>
        <w:pStyle w:val="ListParagraph"/>
        <w:numPr>
          <w:ilvl w:val="1"/>
          <w:numId w:val="23"/>
        </w:numPr>
        <w:tabs>
          <w:tab w:pos="1193" w:val="left" w:leader="none"/>
          <w:tab w:pos="1194" w:val="left" w:leader="none"/>
        </w:tabs>
        <w:spacing w:line="285" w:lineRule="auto" w:before="114" w:after="0"/>
        <w:ind w:left="1194" w:right="713" w:hanging="360"/>
        <w:jc w:val="left"/>
        <w:rPr>
          <w:rFonts w:ascii="Symbol" w:hAnsi="Symbol"/>
          <w:color w:val="111111"/>
          <w:sz w:val="24"/>
        </w:rPr>
      </w:pPr>
      <w:hyperlink r:id="rId79">
        <w:r>
          <w:rPr>
            <w:color w:val="2B4FA2"/>
            <w:sz w:val="24"/>
            <w:u w:val="single" w:color="2B4FA2"/>
          </w:rPr>
          <w:t>Reproductive health - a public health issue</w:t>
        </w:r>
      </w:hyperlink>
      <w:r>
        <w:rPr>
          <w:sz w:val="24"/>
        </w:rPr>
        <w:t>. A consensus statement, data and women’s experiences, covering reproductive health through the life course, from menstruation to menopause. (PHE.</w:t>
      </w:r>
      <w:r>
        <w:rPr>
          <w:spacing w:val="-3"/>
          <w:sz w:val="24"/>
        </w:rPr>
        <w:t> </w:t>
      </w:r>
      <w:r>
        <w:rPr>
          <w:sz w:val="24"/>
        </w:rPr>
        <w:t>2018)</w:t>
      </w:r>
    </w:p>
    <w:p>
      <w:pPr>
        <w:pStyle w:val="ListParagraph"/>
        <w:numPr>
          <w:ilvl w:val="1"/>
          <w:numId w:val="23"/>
        </w:numPr>
        <w:tabs>
          <w:tab w:pos="1193" w:val="left" w:leader="none"/>
          <w:tab w:pos="1194" w:val="left" w:leader="none"/>
        </w:tabs>
        <w:spacing w:line="285" w:lineRule="auto" w:before="124" w:after="0"/>
        <w:ind w:left="1194" w:right="859" w:hanging="360"/>
        <w:jc w:val="left"/>
        <w:rPr>
          <w:rFonts w:ascii="Symbol" w:hAnsi="Symbol"/>
          <w:color w:val="111111"/>
          <w:sz w:val="24"/>
        </w:rPr>
      </w:pPr>
      <w:r>
        <w:rPr>
          <w:sz w:val="24"/>
        </w:rPr>
        <w:t>The cross-government</w:t>
      </w:r>
      <w:r>
        <w:rPr>
          <w:color w:val="2B4FA2"/>
          <w:sz w:val="24"/>
        </w:rPr>
        <w:t> </w:t>
      </w:r>
      <w:hyperlink r:id="rId80">
        <w:r>
          <w:rPr>
            <w:color w:val="2B4FA2"/>
            <w:sz w:val="24"/>
            <w:u w:val="single" w:color="2B4FA2"/>
          </w:rPr>
          <w:t>loneliness strategy</w:t>
        </w:r>
      </w:hyperlink>
      <w:r>
        <w:rPr>
          <w:sz w:val="24"/>
        </w:rPr>
        <w:t>, which sets out the Government’s vision for supporting individuals, businesses and communities to build and maintain strong</w:t>
      </w:r>
      <w:r>
        <w:rPr>
          <w:spacing w:val="-1"/>
          <w:sz w:val="24"/>
        </w:rPr>
        <w:t> </w:t>
      </w:r>
      <w:r>
        <w:rPr>
          <w:sz w:val="24"/>
        </w:rPr>
        <w:t>relationships.</w:t>
      </w:r>
    </w:p>
    <w:p>
      <w:pPr>
        <w:spacing w:after="0" w:line="285" w:lineRule="auto"/>
        <w:jc w:val="left"/>
        <w:rPr>
          <w:rFonts w:ascii="Symbol" w:hAnsi="Symbol"/>
          <w:sz w:val="24"/>
        </w:rPr>
        <w:sectPr>
          <w:pgSz w:w="11910" w:h="16840"/>
          <w:pgMar w:header="708" w:footer="783" w:top="980" w:bottom="980" w:left="1020" w:right="760"/>
        </w:sectPr>
      </w:pPr>
    </w:p>
    <w:p>
      <w:pPr>
        <w:pStyle w:val="BodyText"/>
        <w:spacing w:before="8"/>
        <w:rPr>
          <w:sz w:val="16"/>
        </w:rPr>
      </w:pPr>
    </w:p>
    <w:p>
      <w:pPr>
        <w:pStyle w:val="BodyText"/>
        <w:ind w:left="114"/>
        <w:rPr>
          <w:sz w:val="20"/>
        </w:rPr>
      </w:pPr>
      <w:r>
        <w:rPr>
          <w:sz w:val="20"/>
        </w:rPr>
        <w:drawing>
          <wp:inline distT="0" distB="0" distL="0" distR="0">
            <wp:extent cx="1249492" cy="753618"/>
            <wp:effectExtent l="0" t="0" r="0" b="0"/>
            <wp:docPr id="25" name="image11.jpeg"/>
            <wp:cNvGraphicFramePr>
              <a:graphicFrameLocks noChangeAspect="1"/>
            </wp:cNvGraphicFramePr>
            <a:graphic>
              <a:graphicData uri="http://schemas.openxmlformats.org/drawingml/2006/picture">
                <pic:pic>
                  <pic:nvPicPr>
                    <pic:cNvPr id="26" name="image11.jpeg"/>
                    <pic:cNvPicPr/>
                  </pic:nvPicPr>
                  <pic:blipFill>
                    <a:blip r:embed="rId81" cstate="print"/>
                    <a:stretch>
                      <a:fillRect/>
                    </a:stretch>
                  </pic:blipFill>
                  <pic:spPr>
                    <a:xfrm>
                      <a:off x="0" y="0"/>
                      <a:ext cx="1249492" cy="75361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97"/>
        <w:ind w:left="113"/>
      </w:pPr>
      <w:r>
        <w:rPr>
          <w:color w:val="252523"/>
        </w:rPr>
        <w:t>© Crown copyright 2019</w:t>
      </w:r>
    </w:p>
    <w:p>
      <w:pPr>
        <w:pStyle w:val="BodyText"/>
        <w:spacing w:line="288" w:lineRule="auto" w:before="175"/>
        <w:ind w:left="113" w:right="671"/>
      </w:pPr>
      <w:r>
        <w:rPr>
          <w:color w:val="252523"/>
        </w:rPr>
        <w:t>This publication (not including logos) is licensed under the terms of the Open Government Licence v3.0 except where otherwise stated. Where we have identified any third party copyright information you will need to obtain permission from the copyright holders concerned.</w:t>
      </w:r>
    </w:p>
    <w:p>
      <w:pPr>
        <w:pStyle w:val="BodyText"/>
        <w:spacing w:before="240"/>
        <w:ind w:left="114"/>
      </w:pPr>
      <w:r>
        <w:rPr>
          <w:color w:val="252523"/>
        </w:rPr>
        <w:t>To view this licence:</w:t>
      </w:r>
    </w:p>
    <w:p>
      <w:pPr>
        <w:pStyle w:val="BodyText"/>
        <w:tabs>
          <w:tab w:pos="1532" w:val="left" w:leader="none"/>
        </w:tabs>
        <w:spacing w:line="288" w:lineRule="auto" w:before="55"/>
        <w:ind w:left="398" w:right="1226"/>
      </w:pPr>
      <w:r>
        <w:rPr>
          <w:color w:val="252523"/>
        </w:rPr>
        <w:t>visit</w:t>
        <w:tab/>
      </w:r>
      <w:hyperlink r:id="rId82">
        <w:r>
          <w:rPr>
            <w:color w:val="394C96"/>
            <w:spacing w:val="-1"/>
            <w:u w:val="single" w:color="394C96"/>
          </w:rPr>
          <w:t>www.nationalarchives.gov.uk/doc/open-government-licence/version/3</w:t>
        </w:r>
      </w:hyperlink>
      <w:r>
        <w:rPr>
          <w:color w:val="394C96"/>
          <w:spacing w:val="-1"/>
        </w:rPr>
        <w:t> </w:t>
      </w:r>
      <w:r>
        <w:rPr>
          <w:color w:val="252523"/>
        </w:rPr>
        <w:t>email</w:t>
        <w:tab/>
      </w:r>
      <w:hyperlink r:id="rId83">
        <w:r>
          <w:rPr>
            <w:color w:val="394C96"/>
            <w:u w:val="single" w:color="394C96"/>
          </w:rPr>
          <w:t>psi@nationalarchives.gsi.gov.uk</w:t>
        </w:r>
      </w:hyperlink>
    </w:p>
    <w:p>
      <w:pPr>
        <w:pStyle w:val="BodyText"/>
        <w:tabs>
          <w:tab w:pos="1532" w:val="left" w:leader="none"/>
        </w:tabs>
        <w:spacing w:line="275" w:lineRule="exact"/>
        <w:ind w:left="398"/>
      </w:pPr>
      <w:r>
        <w:rPr>
          <w:color w:val="252523"/>
        </w:rPr>
        <w:t>write</w:t>
      </w:r>
      <w:r>
        <w:rPr>
          <w:color w:val="252523"/>
          <w:spacing w:val="-2"/>
        </w:rPr>
        <w:t> </w:t>
      </w:r>
      <w:r>
        <w:rPr>
          <w:color w:val="252523"/>
        </w:rPr>
        <w:t>to</w:t>
        <w:tab/>
        <w:t>Information Policy Team, The National Archives, Kew, London, TW9</w:t>
      </w:r>
      <w:r>
        <w:rPr>
          <w:color w:val="252523"/>
          <w:spacing w:val="-22"/>
        </w:rPr>
        <w:t> </w:t>
      </w:r>
      <w:r>
        <w:rPr>
          <w:color w:val="252523"/>
        </w:rPr>
        <w:t>4DU</w:t>
      </w:r>
    </w:p>
    <w:p>
      <w:pPr>
        <w:pStyle w:val="BodyText"/>
        <w:spacing w:before="8"/>
        <w:rPr>
          <w:sz w:val="25"/>
        </w:rPr>
      </w:pPr>
    </w:p>
    <w:p>
      <w:pPr>
        <w:pStyle w:val="BodyText"/>
        <w:ind w:left="114"/>
      </w:pPr>
      <w:r>
        <w:rPr>
          <w:color w:val="252523"/>
        </w:rPr>
        <w:t>About this publication:</w:t>
      </w:r>
    </w:p>
    <w:p>
      <w:pPr>
        <w:pStyle w:val="BodyText"/>
        <w:spacing w:line="288" w:lineRule="auto" w:before="55"/>
        <w:ind w:left="398" w:right="4188"/>
      </w:pPr>
      <w:r>
        <w:rPr/>
        <w:drawing>
          <wp:anchor distT="0" distB="0" distL="0" distR="0" allowOverlap="1" layoutInCell="1" locked="0" behindDoc="0" simplePos="0" relativeHeight="251677696">
            <wp:simplePos x="0" y="0"/>
            <wp:positionH relativeFrom="page">
              <wp:posOffset>3489325</wp:posOffset>
            </wp:positionH>
            <wp:positionV relativeFrom="paragraph">
              <wp:posOffset>819745</wp:posOffset>
            </wp:positionV>
            <wp:extent cx="273050" cy="273062"/>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84" cstate="print"/>
                    <a:stretch>
                      <a:fillRect/>
                    </a:stretch>
                  </pic:blipFill>
                  <pic:spPr>
                    <a:xfrm>
                      <a:off x="0" y="0"/>
                      <a:ext cx="273050" cy="273062"/>
                    </a:xfrm>
                    <a:prstGeom prst="rect">
                      <a:avLst/>
                    </a:prstGeom>
                  </pic:spPr>
                </pic:pic>
              </a:graphicData>
            </a:graphic>
          </wp:anchor>
        </w:drawing>
      </w:r>
      <w:r>
        <w:rPr>
          <w:color w:val="252523"/>
        </w:rPr>
        <w:t>enquiries </w:t>
      </w:r>
      <w:hyperlink r:id="rId85">
        <w:r>
          <w:rPr>
            <w:color w:val="394C96"/>
            <w:u w:val="single" w:color="394C96"/>
          </w:rPr>
          <w:t>www.education.gov.uk/contactus</w:t>
        </w:r>
      </w:hyperlink>
      <w:r>
        <w:rPr>
          <w:color w:val="394C96"/>
        </w:rPr>
        <w:t> </w:t>
      </w:r>
      <w:r>
        <w:rPr>
          <w:color w:val="252523"/>
        </w:rPr>
        <w:t>download </w:t>
      </w:r>
      <w:hyperlink r:id="rId86">
        <w:r>
          <w:rPr>
            <w:color w:val="394C96"/>
            <w:u w:val="single" w:color="394C96"/>
          </w:rPr>
          <w:t>www.gov.uk/government/publications</w:t>
        </w:r>
      </w:hyperlink>
    </w:p>
    <w:p>
      <w:pPr>
        <w:pStyle w:val="BodyText"/>
        <w:rPr>
          <w:sz w:val="20"/>
        </w:rPr>
      </w:pPr>
    </w:p>
    <w:p>
      <w:pPr>
        <w:pStyle w:val="BodyText"/>
        <w:spacing w:before="4"/>
        <w:rPr>
          <w:sz w:val="21"/>
        </w:rPr>
      </w:pPr>
    </w:p>
    <w:p>
      <w:pPr>
        <w:spacing w:after="0"/>
        <w:rPr>
          <w:sz w:val="21"/>
        </w:rPr>
        <w:sectPr>
          <w:pgSz w:w="11910" w:h="16840"/>
          <w:pgMar w:header="708" w:footer="783" w:top="980" w:bottom="980" w:left="1020" w:right="760"/>
        </w:sectPr>
      </w:pPr>
    </w:p>
    <w:p>
      <w:pPr>
        <w:pStyle w:val="BodyText"/>
        <w:spacing w:before="96"/>
        <w:ind w:left="1605" w:right="21" w:firstLine="33"/>
      </w:pPr>
      <w:r>
        <w:rPr/>
        <w:drawing>
          <wp:anchor distT="0" distB="0" distL="0" distR="0" allowOverlap="1" layoutInCell="1" locked="0" behindDoc="0" simplePos="0" relativeHeight="251676672">
            <wp:simplePos x="0" y="0"/>
            <wp:positionH relativeFrom="page">
              <wp:posOffset>969010</wp:posOffset>
            </wp:positionH>
            <wp:positionV relativeFrom="paragraph">
              <wp:posOffset>62444</wp:posOffset>
            </wp:positionV>
            <wp:extent cx="337718" cy="273062"/>
            <wp:effectExtent l="0" t="0" r="0" b="0"/>
            <wp:wrapNone/>
            <wp:docPr id="29" name="image13.png"/>
            <wp:cNvGraphicFramePr>
              <a:graphicFrameLocks noChangeAspect="1"/>
            </wp:cNvGraphicFramePr>
            <a:graphic>
              <a:graphicData uri="http://schemas.openxmlformats.org/drawingml/2006/picture">
                <pic:pic>
                  <pic:nvPicPr>
                    <pic:cNvPr id="30" name="image13.png"/>
                    <pic:cNvPicPr/>
                  </pic:nvPicPr>
                  <pic:blipFill>
                    <a:blip r:embed="rId87" cstate="print"/>
                    <a:stretch>
                      <a:fillRect/>
                    </a:stretch>
                  </pic:blipFill>
                  <pic:spPr>
                    <a:xfrm>
                      <a:off x="0" y="0"/>
                      <a:ext cx="337718" cy="273062"/>
                    </a:xfrm>
                    <a:prstGeom prst="rect">
                      <a:avLst/>
                    </a:prstGeom>
                  </pic:spPr>
                </pic:pic>
              </a:graphicData>
            </a:graphic>
          </wp:anchor>
        </w:drawing>
      </w:r>
      <w:r>
        <w:rPr>
          <w:color w:val="252523"/>
        </w:rPr>
        <w:t>Follow us on Twitter: </w:t>
      </w:r>
      <w:hyperlink r:id="rId88">
        <w:r>
          <w:rPr>
            <w:color w:val="394C96"/>
            <w:u w:val="single" w:color="394C96"/>
          </w:rPr>
          <w:t>@educationgovuk</w:t>
        </w:r>
      </w:hyperlink>
    </w:p>
    <w:p>
      <w:pPr>
        <w:pStyle w:val="BodyText"/>
        <w:spacing w:before="96"/>
        <w:ind w:left="1407" w:right="1491" w:firstLine="33"/>
      </w:pPr>
      <w:r>
        <w:rPr/>
        <w:br w:type="column"/>
      </w:r>
      <w:r>
        <w:rPr>
          <w:color w:val="252523"/>
        </w:rPr>
        <w:t>Like us on Facebook: </w:t>
      </w:r>
      <w:hyperlink r:id="rId89">
        <w:r>
          <w:rPr>
            <w:color w:val="394C96"/>
            <w:u w:val="single" w:color="394C96"/>
          </w:rPr>
          <w:t>facebook.com/educationgovuk</w:t>
        </w:r>
      </w:hyperlink>
    </w:p>
    <w:p>
      <w:pPr>
        <w:spacing w:after="0"/>
        <w:sectPr>
          <w:type w:val="continuous"/>
          <w:pgSz w:w="11910" w:h="16840"/>
          <w:pgMar w:top="1320" w:bottom="1640" w:left="1020" w:right="760"/>
          <w:cols w:num="2" w:equalWidth="0">
            <w:col w:w="3880" w:space="89"/>
            <w:col w:w="616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line="1573" w:lineRule="exact" w:before="89"/>
        <w:ind w:left="1136" w:right="1394" w:firstLine="0"/>
        <w:jc w:val="center"/>
        <w:rPr>
          <w:rFonts w:ascii="Trebuchet MS"/>
          <w:sz w:val="144"/>
        </w:rPr>
      </w:pPr>
      <w:bookmarkStart w:name="_bookmark49" w:id="103"/>
      <w:bookmarkEnd w:id="103"/>
      <w:r>
        <w:rPr/>
      </w:r>
      <w:r>
        <w:rPr>
          <w:rFonts w:ascii="Trebuchet MS"/>
          <w:w w:val="75"/>
          <w:sz w:val="144"/>
        </w:rPr>
        <w:t>APPENDIX</w:t>
      </w:r>
    </w:p>
    <w:p>
      <w:pPr>
        <w:spacing w:line="1556" w:lineRule="exact" w:before="0"/>
        <w:ind w:left="1136" w:right="1396" w:firstLine="0"/>
        <w:jc w:val="center"/>
        <w:rPr>
          <w:sz w:val="144"/>
        </w:rPr>
      </w:pPr>
      <w:r>
        <w:rPr>
          <w:color w:val="EC7C30"/>
          <w:w w:val="65"/>
          <w:sz w:val="144"/>
        </w:rPr>
        <w:t>TWO</w:t>
      </w:r>
    </w:p>
    <w:p>
      <w:pPr>
        <w:spacing w:line="259" w:lineRule="auto" w:before="396"/>
        <w:ind w:left="2354" w:right="2613" w:firstLine="1"/>
        <w:jc w:val="center"/>
        <w:rPr>
          <w:b/>
          <w:sz w:val="32"/>
        </w:rPr>
      </w:pPr>
      <w:r>
        <w:rPr>
          <w:b/>
          <w:sz w:val="32"/>
        </w:rPr>
        <w:t>A Model Catholic RSE Curriculum by the Catholic Education Service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p>
    <w:p>
      <w:pPr>
        <w:spacing w:before="94"/>
        <w:ind w:left="528" w:right="0" w:firstLine="0"/>
        <w:jc w:val="left"/>
        <w:rPr>
          <w:sz w:val="20"/>
        </w:rPr>
      </w:pPr>
      <w:r>
        <w:rPr/>
        <w:drawing>
          <wp:anchor distT="0" distB="0" distL="0" distR="0" allowOverlap="1" layoutInCell="1" locked="0" behindDoc="0" simplePos="0" relativeHeight="251678720">
            <wp:simplePos x="0" y="0"/>
            <wp:positionH relativeFrom="page">
              <wp:posOffset>5300979</wp:posOffset>
            </wp:positionH>
            <wp:positionV relativeFrom="paragraph">
              <wp:posOffset>-77217</wp:posOffset>
            </wp:positionV>
            <wp:extent cx="1275572" cy="415175"/>
            <wp:effectExtent l="0" t="0" r="0" b="0"/>
            <wp:wrapNone/>
            <wp:docPr id="31" name="image1.jpeg"/>
            <wp:cNvGraphicFramePr>
              <a:graphicFrameLocks noChangeAspect="1"/>
            </wp:cNvGraphicFramePr>
            <a:graphic>
              <a:graphicData uri="http://schemas.openxmlformats.org/drawingml/2006/picture">
                <pic:pic>
                  <pic:nvPicPr>
                    <pic:cNvPr id="32" name="image1.jpeg"/>
                    <pic:cNvPicPr/>
                  </pic:nvPicPr>
                  <pic:blipFill>
                    <a:blip r:embed="rId92" cstate="print"/>
                    <a:stretch>
                      <a:fillRect/>
                    </a:stretch>
                  </pic:blipFill>
                  <pic:spPr>
                    <a:xfrm>
                      <a:off x="0" y="0"/>
                      <a:ext cx="1275572" cy="415175"/>
                    </a:xfrm>
                    <a:prstGeom prst="rect">
                      <a:avLst/>
                    </a:prstGeom>
                  </pic:spPr>
                </pic:pic>
              </a:graphicData>
            </a:graphic>
          </wp:anchor>
        </w:drawing>
      </w:r>
      <w:r>
        <w:rPr>
          <w:sz w:val="20"/>
        </w:rPr>
        <w:t>(26)</w:t>
      </w:r>
    </w:p>
    <w:p>
      <w:pPr>
        <w:spacing w:after="0"/>
        <w:jc w:val="left"/>
        <w:rPr>
          <w:sz w:val="20"/>
        </w:rPr>
        <w:sectPr>
          <w:headerReference w:type="default" r:id="rId90"/>
          <w:footerReference w:type="default" r:id="rId91"/>
          <w:pgSz w:w="11910" w:h="16840"/>
          <w:pgMar w:header="715" w:footer="0" w:top="920" w:bottom="280" w:left="1020" w:right="760"/>
        </w:sectPr>
      </w:pPr>
    </w:p>
    <w:p>
      <w:pPr>
        <w:pStyle w:val="BodyText"/>
        <w:rPr>
          <w:sz w:val="3"/>
        </w:rPr>
      </w:pPr>
    </w:p>
    <w:p>
      <w:pPr>
        <w:pStyle w:val="BodyText"/>
        <w:ind w:left="6369"/>
        <w:rPr>
          <w:sz w:val="20"/>
        </w:rPr>
      </w:pPr>
      <w:r>
        <w:rPr>
          <w:sz w:val="20"/>
        </w:rPr>
        <w:drawing>
          <wp:inline distT="0" distB="0" distL="0" distR="0">
            <wp:extent cx="1332738" cy="1328547"/>
            <wp:effectExtent l="0" t="0" r="0" b="0"/>
            <wp:docPr id="33" name="image14.png"/>
            <wp:cNvGraphicFramePr>
              <a:graphicFrameLocks noChangeAspect="1"/>
            </wp:cNvGraphicFramePr>
            <a:graphic>
              <a:graphicData uri="http://schemas.openxmlformats.org/drawingml/2006/picture">
                <pic:pic>
                  <pic:nvPicPr>
                    <pic:cNvPr id="34" name="image14.png"/>
                    <pic:cNvPicPr/>
                  </pic:nvPicPr>
                  <pic:blipFill>
                    <a:blip r:embed="rId95" cstate="print"/>
                    <a:stretch>
                      <a:fillRect/>
                    </a:stretch>
                  </pic:blipFill>
                  <pic:spPr>
                    <a:xfrm>
                      <a:off x="0" y="0"/>
                      <a:ext cx="1332738" cy="132854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21"/>
        </w:rPr>
      </w:pPr>
    </w:p>
    <w:p>
      <w:pPr>
        <w:spacing w:line="834" w:lineRule="exact" w:before="0"/>
        <w:ind w:left="1820" w:right="1480" w:firstLine="0"/>
        <w:jc w:val="center"/>
        <w:rPr>
          <w:rFonts w:ascii="Calibri Light"/>
          <w:b w:val="0"/>
          <w:sz w:val="72"/>
        </w:rPr>
      </w:pPr>
      <w:r>
        <w:rPr>
          <w:rFonts w:ascii="Calibri Light"/>
          <w:b w:val="0"/>
          <w:sz w:val="72"/>
        </w:rPr>
        <w:t>A </w:t>
      </w:r>
      <w:r>
        <w:rPr>
          <w:rFonts w:ascii="Calibri Light"/>
          <w:b w:val="0"/>
          <w:spacing w:val="-15"/>
          <w:sz w:val="72"/>
        </w:rPr>
        <w:t>model Catholic Primary RSE</w:t>
      </w:r>
      <w:r>
        <w:rPr>
          <w:rFonts w:ascii="Calibri Light"/>
          <w:b w:val="0"/>
          <w:spacing w:val="-95"/>
          <w:sz w:val="72"/>
        </w:rPr>
        <w:t> </w:t>
      </w:r>
      <w:r>
        <w:rPr>
          <w:rFonts w:ascii="Calibri Light"/>
          <w:b w:val="0"/>
          <w:spacing w:val="-15"/>
          <w:sz w:val="72"/>
        </w:rPr>
        <w:t>curriculum</w:t>
      </w:r>
    </w:p>
    <w:p>
      <w:pPr>
        <w:spacing w:before="0"/>
        <w:ind w:left="431" w:right="0" w:firstLine="0"/>
        <w:jc w:val="center"/>
        <w:rPr>
          <w:rFonts w:ascii="Calibri Light"/>
          <w:b w:val="0"/>
          <w:i/>
          <w:sz w:val="48"/>
        </w:rPr>
      </w:pPr>
      <w:r>
        <w:rPr>
          <w:rFonts w:ascii="Calibri Light"/>
          <w:b w:val="0"/>
          <w:i/>
          <w:sz w:val="48"/>
        </w:rPr>
        <w:t> </w:t>
      </w:r>
    </w:p>
    <w:p>
      <w:pPr>
        <w:pStyle w:val="BodyText"/>
        <w:rPr>
          <w:rFonts w:ascii="Calibri Light"/>
          <w:b w:val="0"/>
          <w:i/>
          <w:sz w:val="48"/>
        </w:rPr>
      </w:pPr>
    </w:p>
    <w:p>
      <w:pPr>
        <w:pStyle w:val="BodyText"/>
        <w:rPr>
          <w:rFonts w:ascii="Calibri Light"/>
          <w:b w:val="0"/>
          <w:i/>
          <w:sz w:val="48"/>
        </w:rPr>
      </w:pPr>
    </w:p>
    <w:p>
      <w:pPr>
        <w:pStyle w:val="BodyText"/>
        <w:rPr>
          <w:rFonts w:ascii="Calibri Light"/>
          <w:b w:val="0"/>
          <w:i/>
          <w:sz w:val="48"/>
        </w:rPr>
      </w:pPr>
    </w:p>
    <w:p>
      <w:pPr>
        <w:pStyle w:val="BodyText"/>
        <w:rPr>
          <w:rFonts w:ascii="Calibri Light"/>
          <w:b w:val="0"/>
          <w:i/>
          <w:sz w:val="48"/>
        </w:rPr>
      </w:pPr>
    </w:p>
    <w:p>
      <w:pPr>
        <w:pStyle w:val="BodyText"/>
        <w:rPr>
          <w:rFonts w:ascii="Calibri Light"/>
          <w:b w:val="0"/>
          <w:i/>
          <w:sz w:val="48"/>
        </w:rPr>
      </w:pPr>
    </w:p>
    <w:p>
      <w:pPr>
        <w:pStyle w:val="BodyText"/>
        <w:spacing w:before="10"/>
        <w:rPr>
          <w:rFonts w:ascii="Calibri Light"/>
          <w:b w:val="0"/>
          <w:i/>
          <w:sz w:val="45"/>
        </w:rPr>
      </w:pPr>
    </w:p>
    <w:p>
      <w:pPr>
        <w:spacing w:before="0"/>
        <w:ind w:left="1796" w:right="1480" w:firstLine="0"/>
        <w:jc w:val="center"/>
        <w:rPr>
          <w:rFonts w:ascii="Calibri"/>
          <w:sz w:val="32"/>
        </w:rPr>
      </w:pPr>
      <w:r>
        <w:rPr>
          <w:rFonts w:ascii="Calibri"/>
          <w:sz w:val="32"/>
        </w:rPr>
        <w:t>Autumn 2016</w:t>
      </w:r>
    </w:p>
    <w:p>
      <w:pPr>
        <w:spacing w:after="0"/>
        <w:jc w:val="center"/>
        <w:rPr>
          <w:rFonts w:ascii="Calibri"/>
          <w:sz w:val="32"/>
        </w:rPr>
        <w:sectPr>
          <w:headerReference w:type="default" r:id="rId93"/>
          <w:footerReference w:type="default" r:id="rId94"/>
          <w:pgSz w:w="16840" w:h="11910" w:orient="landscape"/>
          <w:pgMar w:header="0" w:footer="0" w:top="1100" w:bottom="280" w:left="1000" w:right="1320"/>
        </w:sectPr>
      </w:pPr>
    </w:p>
    <w:p>
      <w:pPr>
        <w:spacing w:before="106"/>
        <w:ind w:left="440" w:right="0" w:firstLine="0"/>
        <w:jc w:val="left"/>
        <w:rPr>
          <w:rFonts w:ascii="Calibri Light"/>
          <w:b w:val="0"/>
          <w:sz w:val="32"/>
        </w:rPr>
      </w:pPr>
      <w:r>
        <w:rPr>
          <w:rFonts w:ascii="Calibri Light"/>
          <w:b w:val="0"/>
          <w:color w:val="1C3D94"/>
          <w:sz w:val="32"/>
        </w:rPr>
        <w:t>Introduction</w:t>
      </w:r>
    </w:p>
    <w:p>
      <w:pPr>
        <w:spacing w:before="31"/>
        <w:ind w:left="440" w:right="114" w:firstLine="0"/>
        <w:jc w:val="both"/>
        <w:rPr>
          <w:rFonts w:ascii="Calibri" w:hAnsi="Calibri"/>
          <w:sz w:val="22"/>
        </w:rPr>
      </w:pPr>
      <w:r>
        <w:rPr>
          <w:rFonts w:ascii="Calibri" w:hAnsi="Calibri"/>
          <w:sz w:val="22"/>
        </w:rPr>
        <w:t>Any teaching about love and sexual relationships in a Catholic school must be rooted in the Catholic Church’s teaching about what it is to be truly human in Christ, what it means to live well in relationship with others and be presented within a positive framework of Christian virtue. For this reason, we encourage Catholic</w:t>
      </w:r>
      <w:r>
        <w:rPr>
          <w:rFonts w:ascii="Calibri" w:hAnsi="Calibri"/>
          <w:spacing w:val="-6"/>
          <w:sz w:val="22"/>
        </w:rPr>
        <w:t> </w:t>
      </w:r>
      <w:r>
        <w:rPr>
          <w:rFonts w:ascii="Calibri" w:hAnsi="Calibri"/>
          <w:sz w:val="22"/>
        </w:rPr>
        <w:t>schools</w:t>
      </w:r>
      <w:r>
        <w:rPr>
          <w:rFonts w:ascii="Calibri" w:hAnsi="Calibri"/>
          <w:spacing w:val="-7"/>
          <w:sz w:val="22"/>
        </w:rPr>
        <w:t> </w:t>
      </w:r>
      <w:r>
        <w:rPr>
          <w:rFonts w:ascii="Calibri" w:hAnsi="Calibri"/>
          <w:sz w:val="22"/>
        </w:rPr>
        <w:t>to</w:t>
      </w:r>
      <w:r>
        <w:rPr>
          <w:rFonts w:ascii="Calibri" w:hAnsi="Calibri"/>
          <w:spacing w:val="-4"/>
          <w:sz w:val="22"/>
        </w:rPr>
        <w:t> </w:t>
      </w:r>
      <w:r>
        <w:rPr>
          <w:rFonts w:ascii="Calibri" w:hAnsi="Calibri"/>
          <w:sz w:val="22"/>
        </w:rPr>
        <w:t>speak</w:t>
      </w:r>
      <w:r>
        <w:rPr>
          <w:rFonts w:ascii="Calibri" w:hAnsi="Calibri"/>
          <w:spacing w:val="-6"/>
          <w:sz w:val="22"/>
        </w:rPr>
        <w:t> </w:t>
      </w:r>
      <w:r>
        <w:rPr>
          <w:rFonts w:ascii="Calibri" w:hAnsi="Calibri"/>
          <w:sz w:val="22"/>
        </w:rPr>
        <w:t>about</w:t>
      </w:r>
      <w:r>
        <w:rPr>
          <w:rFonts w:ascii="Calibri" w:hAnsi="Calibri"/>
          <w:spacing w:val="-6"/>
          <w:sz w:val="22"/>
        </w:rPr>
        <w:t> </w:t>
      </w:r>
      <w:r>
        <w:rPr>
          <w:rFonts w:ascii="Calibri" w:hAnsi="Calibri"/>
          <w:sz w:val="22"/>
        </w:rPr>
        <w:t>Relationship</w:t>
      </w:r>
      <w:r>
        <w:rPr>
          <w:rFonts w:ascii="Calibri" w:hAnsi="Calibri"/>
          <w:spacing w:val="-6"/>
          <w:sz w:val="22"/>
        </w:rPr>
        <w:t> </w:t>
      </w:r>
      <w:r>
        <w:rPr>
          <w:rFonts w:ascii="Calibri" w:hAnsi="Calibri"/>
          <w:sz w:val="22"/>
        </w:rPr>
        <w:t>and</w:t>
      </w:r>
      <w:r>
        <w:rPr>
          <w:rFonts w:ascii="Calibri" w:hAnsi="Calibri"/>
          <w:spacing w:val="-7"/>
          <w:sz w:val="22"/>
        </w:rPr>
        <w:t> </w:t>
      </w:r>
      <w:r>
        <w:rPr>
          <w:rFonts w:ascii="Calibri" w:hAnsi="Calibri"/>
          <w:sz w:val="22"/>
        </w:rPr>
        <w:t>Sex</w:t>
      </w:r>
      <w:r>
        <w:rPr>
          <w:rFonts w:ascii="Calibri" w:hAnsi="Calibri"/>
          <w:spacing w:val="-8"/>
          <w:sz w:val="22"/>
        </w:rPr>
        <w:t> </w:t>
      </w:r>
      <w:r>
        <w:rPr>
          <w:rFonts w:ascii="Calibri" w:hAnsi="Calibri"/>
          <w:sz w:val="22"/>
        </w:rPr>
        <w:t>Education</w:t>
      </w:r>
      <w:r>
        <w:rPr>
          <w:rFonts w:ascii="Calibri" w:hAnsi="Calibri"/>
          <w:spacing w:val="-7"/>
          <w:sz w:val="22"/>
        </w:rPr>
        <w:t> </w:t>
      </w:r>
      <w:r>
        <w:rPr>
          <w:rFonts w:ascii="Calibri" w:hAnsi="Calibri"/>
          <w:sz w:val="22"/>
        </w:rPr>
        <w:t>(RSE)</w:t>
      </w:r>
      <w:r>
        <w:rPr>
          <w:rFonts w:ascii="Calibri" w:hAnsi="Calibri"/>
          <w:spacing w:val="-6"/>
          <w:sz w:val="22"/>
        </w:rPr>
        <w:t> </w:t>
      </w:r>
      <w:r>
        <w:rPr>
          <w:rFonts w:ascii="Calibri" w:hAnsi="Calibri"/>
          <w:sz w:val="22"/>
        </w:rPr>
        <w:t>rather</w:t>
      </w:r>
      <w:r>
        <w:rPr>
          <w:rFonts w:ascii="Calibri" w:hAnsi="Calibri"/>
          <w:spacing w:val="-8"/>
          <w:sz w:val="22"/>
        </w:rPr>
        <w:t> </w:t>
      </w:r>
      <w:r>
        <w:rPr>
          <w:rFonts w:ascii="Calibri" w:hAnsi="Calibri"/>
          <w:sz w:val="22"/>
        </w:rPr>
        <w:t>than</w:t>
      </w:r>
      <w:r>
        <w:rPr>
          <w:rFonts w:ascii="Calibri" w:hAnsi="Calibri"/>
          <w:spacing w:val="-7"/>
          <w:sz w:val="22"/>
        </w:rPr>
        <w:t> </w:t>
      </w:r>
      <w:r>
        <w:rPr>
          <w:rFonts w:ascii="Calibri" w:hAnsi="Calibri"/>
          <w:sz w:val="22"/>
        </w:rPr>
        <w:t>Sex</w:t>
      </w:r>
      <w:r>
        <w:rPr>
          <w:rFonts w:ascii="Calibri" w:hAnsi="Calibri"/>
          <w:spacing w:val="-6"/>
          <w:sz w:val="22"/>
        </w:rPr>
        <w:t> </w:t>
      </w:r>
      <w:r>
        <w:rPr>
          <w:rFonts w:ascii="Calibri" w:hAnsi="Calibri"/>
          <w:sz w:val="22"/>
        </w:rPr>
        <w:t>and</w:t>
      </w:r>
      <w:r>
        <w:rPr>
          <w:rFonts w:ascii="Calibri" w:hAnsi="Calibri"/>
          <w:spacing w:val="-7"/>
          <w:sz w:val="22"/>
        </w:rPr>
        <w:t> </w:t>
      </w:r>
      <w:r>
        <w:rPr>
          <w:rFonts w:ascii="Calibri" w:hAnsi="Calibri"/>
          <w:sz w:val="22"/>
        </w:rPr>
        <w:t>Relationship</w:t>
      </w:r>
      <w:r>
        <w:rPr>
          <w:rFonts w:ascii="Calibri" w:hAnsi="Calibri"/>
          <w:spacing w:val="-6"/>
          <w:sz w:val="22"/>
        </w:rPr>
        <w:t> </w:t>
      </w:r>
      <w:r>
        <w:rPr>
          <w:rFonts w:ascii="Calibri" w:hAnsi="Calibri"/>
          <w:sz w:val="22"/>
        </w:rPr>
        <w:t>Education</w:t>
      </w:r>
      <w:r>
        <w:rPr>
          <w:rFonts w:ascii="Calibri" w:hAnsi="Calibri"/>
          <w:spacing w:val="-7"/>
          <w:sz w:val="22"/>
        </w:rPr>
        <w:t> </w:t>
      </w:r>
      <w:r>
        <w:rPr>
          <w:rFonts w:ascii="Calibri" w:hAnsi="Calibri"/>
          <w:sz w:val="22"/>
        </w:rPr>
        <w:t>(SRE),</w:t>
      </w:r>
      <w:r>
        <w:rPr>
          <w:rFonts w:ascii="Calibri" w:hAnsi="Calibri"/>
          <w:spacing w:val="-6"/>
          <w:sz w:val="22"/>
        </w:rPr>
        <w:t> </w:t>
      </w:r>
      <w:r>
        <w:rPr>
          <w:rFonts w:ascii="Calibri" w:hAnsi="Calibri"/>
          <w:sz w:val="22"/>
        </w:rPr>
        <w:t>since</w:t>
      </w:r>
      <w:r>
        <w:rPr>
          <w:rFonts w:ascii="Calibri" w:hAnsi="Calibri"/>
          <w:spacing w:val="-5"/>
          <w:sz w:val="22"/>
        </w:rPr>
        <w:t> </w:t>
      </w:r>
      <w:r>
        <w:rPr>
          <w:rFonts w:ascii="Calibri" w:hAnsi="Calibri"/>
          <w:sz w:val="22"/>
        </w:rPr>
        <w:t>this</w:t>
      </w:r>
      <w:r>
        <w:rPr>
          <w:rFonts w:ascii="Calibri" w:hAnsi="Calibri"/>
          <w:spacing w:val="-7"/>
          <w:sz w:val="22"/>
        </w:rPr>
        <w:t> </w:t>
      </w:r>
      <w:r>
        <w:rPr>
          <w:rFonts w:ascii="Calibri" w:hAnsi="Calibri"/>
          <w:sz w:val="22"/>
        </w:rPr>
        <w:t>emphasises</w:t>
      </w:r>
      <w:r>
        <w:rPr>
          <w:rFonts w:ascii="Calibri" w:hAnsi="Calibri"/>
          <w:spacing w:val="-7"/>
          <w:sz w:val="22"/>
        </w:rPr>
        <w:t> </w:t>
      </w:r>
      <w:r>
        <w:rPr>
          <w:rFonts w:ascii="Calibri" w:hAnsi="Calibri"/>
          <w:sz w:val="22"/>
        </w:rPr>
        <w:t>the</w:t>
      </w:r>
      <w:r>
        <w:rPr>
          <w:rFonts w:ascii="Calibri" w:hAnsi="Calibri"/>
          <w:spacing w:val="-5"/>
          <w:sz w:val="22"/>
        </w:rPr>
        <w:t> </w:t>
      </w:r>
      <w:r>
        <w:rPr>
          <w:rFonts w:ascii="Calibri" w:hAnsi="Calibri"/>
          <w:sz w:val="22"/>
        </w:rPr>
        <w:t>importance of healthy relationships to human well-being, as the core learning within an RSE</w:t>
      </w:r>
      <w:r>
        <w:rPr>
          <w:rFonts w:ascii="Calibri" w:hAnsi="Calibri"/>
          <w:spacing w:val="-10"/>
          <w:sz w:val="22"/>
        </w:rPr>
        <w:t> </w:t>
      </w:r>
      <w:r>
        <w:rPr>
          <w:rFonts w:ascii="Calibri" w:hAnsi="Calibri"/>
          <w:sz w:val="22"/>
        </w:rPr>
        <w:t>curriculum.</w:t>
      </w:r>
    </w:p>
    <w:p>
      <w:pPr>
        <w:pStyle w:val="Heading7"/>
        <w:rPr>
          <w:b w:val="0"/>
        </w:rPr>
      </w:pPr>
      <w:r>
        <w:rPr>
          <w:b w:val="0"/>
          <w:color w:val="1C3D94"/>
        </w:rPr>
        <w:t>Pedagogical principles</w:t>
      </w:r>
    </w:p>
    <w:p>
      <w:pPr>
        <w:spacing w:before="24"/>
        <w:ind w:left="440" w:right="0" w:firstLine="0"/>
        <w:jc w:val="both"/>
        <w:rPr>
          <w:rFonts w:ascii="Calibri" w:hAnsi="Calibri"/>
          <w:sz w:val="22"/>
        </w:rPr>
      </w:pPr>
      <w:r>
        <w:rPr>
          <w:rFonts w:ascii="Calibri" w:hAnsi="Calibri"/>
          <w:sz w:val="22"/>
        </w:rPr>
        <w:t>A good RSE programme must enshrine core pedagogical virtues – that it is, it must, above else, qualify as good education. Therefore, it will be:</w:t>
      </w:r>
    </w:p>
    <w:p>
      <w:pPr>
        <w:pStyle w:val="BodyText"/>
        <w:spacing w:before="183"/>
        <w:ind w:left="440"/>
        <w:rPr>
          <w:rFonts w:ascii="Calibri Light"/>
          <w:b w:val="0"/>
        </w:rPr>
      </w:pPr>
      <w:r>
        <w:rPr>
          <w:rFonts w:ascii="Calibri Light"/>
          <w:b w:val="0"/>
          <w:color w:val="1C3D94"/>
        </w:rPr>
        <w:t>Progressive &amp; Developmental</w:t>
      </w:r>
    </w:p>
    <w:p>
      <w:pPr>
        <w:spacing w:line="259" w:lineRule="auto" w:before="21"/>
        <w:ind w:left="440" w:right="179" w:firstLine="0"/>
        <w:jc w:val="left"/>
        <w:rPr>
          <w:rFonts w:ascii="Calibri"/>
          <w:sz w:val="22"/>
        </w:rPr>
      </w:pPr>
      <w:r>
        <w:rPr>
          <w:rFonts w:ascii="Calibri"/>
          <w:sz w:val="22"/>
        </w:rPr>
        <w:t>The learning needs to reflect each stage of the development of the person. It needs to be part of both the Primary and Secondary phase of education and it needs to be appropriate to the age and stage of development of children and young people during the different phases of their education. It also needs to be continuous and developmental. It should be a process which is planned from beginning to end with one phase of education informing the work of the next so that children and young people can be led to a deeper and fuller understanding by degrees at a rate which corresponds to their maturing.</w:t>
      </w:r>
    </w:p>
    <w:p>
      <w:pPr>
        <w:pStyle w:val="BodyText"/>
        <w:spacing w:before="160"/>
        <w:ind w:left="440"/>
        <w:rPr>
          <w:rFonts w:ascii="Calibri Light"/>
          <w:b w:val="0"/>
        </w:rPr>
      </w:pPr>
      <w:r>
        <w:rPr>
          <w:rFonts w:ascii="Calibri Light"/>
          <w:b w:val="0"/>
          <w:color w:val="1C3D94"/>
        </w:rPr>
        <w:t>Differentiated</w:t>
      </w:r>
    </w:p>
    <w:p>
      <w:pPr>
        <w:spacing w:line="259" w:lineRule="auto" w:before="24"/>
        <w:ind w:left="440" w:right="329" w:firstLine="0"/>
        <w:jc w:val="left"/>
        <w:rPr>
          <w:rFonts w:ascii="Calibri"/>
          <w:sz w:val="22"/>
        </w:rPr>
      </w:pPr>
      <w:r>
        <w:rPr>
          <w:rFonts w:ascii="Calibri"/>
          <w:sz w:val="22"/>
        </w:rPr>
        <w:t>Schools must ensure that RSE is sensitive to the different needs of individual pupils and is taught in a way that allows access to those pupils at different stages of cognitive and emotional development. Learning and teaching methods will need to be adapted and specialist resources and training will need to be provided for those with particular needs. Schools, therefore, should ensure that children with special educational needs and disabilities are not at any point withdrawn from RSE because of lack of resources and training or to catch up in other subjects.</w:t>
      </w:r>
    </w:p>
    <w:p>
      <w:pPr>
        <w:pStyle w:val="BodyText"/>
        <w:spacing w:before="158"/>
        <w:ind w:left="440"/>
        <w:rPr>
          <w:rFonts w:ascii="Calibri Light"/>
          <w:b w:val="0"/>
        </w:rPr>
      </w:pPr>
      <w:r>
        <w:rPr>
          <w:rFonts w:ascii="Calibri Light"/>
          <w:b w:val="0"/>
          <w:color w:val="1C3D94"/>
        </w:rPr>
        <w:t>Cross-curricular</w:t>
      </w:r>
    </w:p>
    <w:p>
      <w:pPr>
        <w:spacing w:line="259" w:lineRule="auto" w:before="23"/>
        <w:ind w:left="440" w:right="425" w:firstLine="0"/>
        <w:jc w:val="left"/>
        <w:rPr>
          <w:rFonts w:ascii="Calibri" w:hAnsi="Calibri"/>
          <w:sz w:val="22"/>
        </w:rPr>
      </w:pPr>
      <w:r>
        <w:rPr>
          <w:rFonts w:ascii="Calibri" w:hAnsi="Calibri"/>
          <w:sz w:val="22"/>
        </w:rPr>
        <w:t>Since a Catholic school is committed to the education of the whole person, teaching on relationships and sexuality needs to be reflected in each relevant part of the curriculum. Whilst, for example, some aspects of RSE will be more appropriately explored in science lessons and some more appropriately explored in RE lessons, each should be informed by the other. Each discipline should speak with consistency about the meaning of human love and the virtues that are enshrined in the Church’s teaching on human love.</w:t>
      </w:r>
    </w:p>
    <w:p>
      <w:pPr>
        <w:pStyle w:val="BodyText"/>
        <w:spacing w:before="161"/>
        <w:ind w:left="440"/>
        <w:rPr>
          <w:rFonts w:ascii="Calibri Light"/>
          <w:b w:val="0"/>
        </w:rPr>
      </w:pPr>
      <w:r>
        <w:rPr>
          <w:rFonts w:ascii="Calibri Light"/>
          <w:b w:val="0"/>
          <w:color w:val="1C3D94"/>
        </w:rPr>
        <w:t>Integrated</w:t>
      </w:r>
    </w:p>
    <w:p>
      <w:pPr>
        <w:spacing w:line="259" w:lineRule="auto" w:before="24"/>
        <w:ind w:left="440" w:right="286" w:firstLine="0"/>
        <w:jc w:val="left"/>
        <w:rPr>
          <w:rFonts w:ascii="Calibri"/>
          <w:sz w:val="22"/>
        </w:rPr>
      </w:pPr>
      <w:r>
        <w:rPr>
          <w:rFonts w:ascii="Calibri"/>
          <w:sz w:val="22"/>
        </w:rPr>
        <w:t>A well-planned programme will not just ensure that there is correspondence between phases and across disciplines but will ensure that parents are fully involved in the planning and evaluation of the teaching of relationships and sexuality. Ideally, pupils should hear a consistent message about the meaning and value of human sexuality at home, in the parish and at school. This can only be achieved if the home, parish and school work to integrate the teaching of RSE.</w:t>
      </w:r>
    </w:p>
    <w:p>
      <w:pPr>
        <w:spacing w:after="0" w:line="259" w:lineRule="auto"/>
        <w:jc w:val="left"/>
        <w:rPr>
          <w:rFonts w:ascii="Calibri"/>
          <w:sz w:val="22"/>
        </w:rPr>
        <w:sectPr>
          <w:headerReference w:type="default" r:id="rId96"/>
          <w:footerReference w:type="default" r:id="rId97"/>
          <w:pgSz w:w="16840" w:h="11910" w:orient="landscape"/>
          <w:pgMar w:header="0" w:footer="666" w:top="1100" w:bottom="860" w:left="1000" w:right="1320"/>
          <w:pgNumType w:start="1"/>
        </w:sectPr>
      </w:pPr>
    </w:p>
    <w:p>
      <w:pPr>
        <w:pStyle w:val="BodyText"/>
        <w:spacing w:before="26"/>
        <w:ind w:left="440"/>
        <w:rPr>
          <w:rFonts w:ascii="Calibri Light"/>
          <w:b w:val="0"/>
        </w:rPr>
      </w:pPr>
      <w:r>
        <w:rPr>
          <w:rFonts w:ascii="Calibri Light"/>
          <w:b w:val="0"/>
          <w:color w:val="1C3D94"/>
        </w:rPr>
        <w:t>Co-ordinated</w:t>
      </w:r>
    </w:p>
    <w:p>
      <w:pPr>
        <w:spacing w:line="259" w:lineRule="auto" w:before="24"/>
        <w:ind w:left="440" w:right="139" w:firstLine="0"/>
        <w:jc w:val="left"/>
        <w:rPr>
          <w:rFonts w:ascii="Calibri" w:hAnsi="Calibri"/>
          <w:sz w:val="22"/>
        </w:rPr>
      </w:pPr>
      <w:r>
        <w:rPr>
          <w:rFonts w:ascii="Calibri" w:hAnsi="Calibri"/>
          <w:sz w:val="22"/>
        </w:rPr>
        <w:t>None of these educational goals are possible if RSE is not given the time and importance it deserves by those who plan and implement its delivery in school. RSE must be taken seriously by school leaders; led properly by someone who has the time and expertise to co-ordinate the subject with dedication and commitment at a senior level; taught by those committed to doing it well; taught as part of a whole-school approach by those who are able to celebrate – not merely tolerate – the teaching of the Church on love and human sexuality.</w:t>
      </w:r>
    </w:p>
    <w:p>
      <w:pPr>
        <w:pStyle w:val="BodyText"/>
        <w:spacing w:before="157"/>
        <w:ind w:left="440"/>
        <w:rPr>
          <w:rFonts w:ascii="Calibri Light"/>
          <w:b w:val="0"/>
        </w:rPr>
      </w:pPr>
      <w:r>
        <w:rPr>
          <w:rFonts w:ascii="Calibri Light"/>
          <w:b w:val="0"/>
          <w:color w:val="1C3D94"/>
        </w:rPr>
        <w:t>Balanced</w:t>
      </w:r>
    </w:p>
    <w:p>
      <w:pPr>
        <w:spacing w:before="25"/>
        <w:ind w:left="440" w:right="0" w:firstLine="0"/>
        <w:jc w:val="left"/>
        <w:rPr>
          <w:rFonts w:ascii="Calibri"/>
          <w:sz w:val="22"/>
        </w:rPr>
      </w:pPr>
      <w:r>
        <w:rPr>
          <w:rFonts w:ascii="Calibri"/>
          <w:sz w:val="22"/>
        </w:rPr>
        <w:t>Whilst promoting Catholic virtues, schools should ensure that children and young people are offered a broad and balanced RSE programme which provides them with clear factual, scientific information when relevant and meets the statutory requirements placed on schools.</w:t>
      </w:r>
    </w:p>
    <w:p>
      <w:pPr>
        <w:pStyle w:val="Heading7"/>
        <w:spacing w:before="123"/>
        <w:rPr>
          <w:b w:val="0"/>
        </w:rPr>
      </w:pPr>
      <w:r>
        <w:rPr>
          <w:b w:val="0"/>
          <w:color w:val="1C3D94"/>
        </w:rPr>
        <w:t>The structure of this model curriculum.</w:t>
      </w:r>
    </w:p>
    <w:p>
      <w:pPr>
        <w:spacing w:line="237" w:lineRule="auto" w:before="25"/>
        <w:ind w:left="440" w:right="0" w:firstLine="0"/>
        <w:jc w:val="left"/>
        <w:rPr>
          <w:rFonts w:ascii="Calibri"/>
          <w:sz w:val="22"/>
        </w:rPr>
      </w:pPr>
      <w:r>
        <w:rPr>
          <w:rFonts w:ascii="Calibri"/>
          <w:sz w:val="22"/>
        </w:rPr>
        <w:t>This model curriculum covers EYFS, KS1 and KS2 and is based on three core themes within which there will be broad overlap. It is adaptable to the age and ability of the pupils. The three themes are:</w:t>
      </w:r>
    </w:p>
    <w:p>
      <w:pPr>
        <w:pStyle w:val="ListParagraph"/>
        <w:numPr>
          <w:ilvl w:val="1"/>
          <w:numId w:val="23"/>
        </w:numPr>
        <w:tabs>
          <w:tab w:pos="1160" w:val="left" w:leader="none"/>
          <w:tab w:pos="1161" w:val="left" w:leader="none"/>
        </w:tabs>
        <w:spacing w:line="240" w:lineRule="auto" w:before="122" w:after="0"/>
        <w:ind w:left="1160" w:right="0" w:hanging="361"/>
        <w:jc w:val="left"/>
        <w:rPr>
          <w:rFonts w:ascii="Symbol" w:hAnsi="Symbol"/>
          <w:sz w:val="22"/>
        </w:rPr>
      </w:pPr>
      <w:r>
        <w:rPr>
          <w:rFonts w:ascii="Calibri" w:hAnsi="Calibri"/>
          <w:b/>
          <w:sz w:val="22"/>
        </w:rPr>
        <w:t>Created and loved by God </w:t>
      </w:r>
      <w:r>
        <w:rPr>
          <w:rFonts w:ascii="Calibri" w:hAnsi="Calibri"/>
          <w:sz w:val="22"/>
        </w:rPr>
        <w:t>(this explores the</w:t>
      </w:r>
      <w:r>
        <w:rPr>
          <w:rFonts w:ascii="Calibri" w:hAnsi="Calibri"/>
          <w:spacing w:val="-10"/>
          <w:sz w:val="22"/>
        </w:rPr>
        <w:t> </w:t>
      </w:r>
      <w:r>
        <w:rPr>
          <w:rFonts w:ascii="Calibri" w:hAnsi="Calibri"/>
          <w:sz w:val="22"/>
        </w:rPr>
        <w:t>individual)</w:t>
      </w:r>
    </w:p>
    <w:p>
      <w:pPr>
        <w:spacing w:before="0"/>
        <w:ind w:left="1160" w:right="0" w:firstLine="0"/>
        <w:jc w:val="left"/>
        <w:rPr>
          <w:rFonts w:ascii="Calibri"/>
          <w:sz w:val="22"/>
        </w:rPr>
      </w:pPr>
      <w:r>
        <w:rPr>
          <w:rFonts w:ascii="Calibri"/>
          <w:sz w:val="22"/>
        </w:rPr>
        <w:t>The</w:t>
      </w:r>
      <w:r>
        <w:rPr>
          <w:rFonts w:ascii="Calibri"/>
          <w:spacing w:val="-8"/>
          <w:sz w:val="22"/>
        </w:rPr>
        <w:t> </w:t>
      </w:r>
      <w:r>
        <w:rPr>
          <w:rFonts w:ascii="Calibri"/>
          <w:sz w:val="22"/>
        </w:rPr>
        <w:t>Christian</w:t>
      </w:r>
      <w:r>
        <w:rPr>
          <w:rFonts w:ascii="Calibri"/>
          <w:spacing w:val="-9"/>
          <w:sz w:val="22"/>
        </w:rPr>
        <w:t> </w:t>
      </w:r>
      <w:r>
        <w:rPr>
          <w:rFonts w:ascii="Calibri"/>
          <w:sz w:val="22"/>
        </w:rPr>
        <w:t>imperative</w:t>
      </w:r>
      <w:r>
        <w:rPr>
          <w:rFonts w:ascii="Calibri"/>
          <w:spacing w:val="-7"/>
          <w:sz w:val="22"/>
        </w:rPr>
        <w:t> </w:t>
      </w:r>
      <w:r>
        <w:rPr>
          <w:rFonts w:ascii="Calibri"/>
          <w:sz w:val="22"/>
        </w:rPr>
        <w:t>to</w:t>
      </w:r>
      <w:r>
        <w:rPr>
          <w:rFonts w:ascii="Calibri"/>
          <w:spacing w:val="-8"/>
          <w:sz w:val="22"/>
        </w:rPr>
        <w:t> </w:t>
      </w:r>
      <w:r>
        <w:rPr>
          <w:rFonts w:ascii="Calibri"/>
          <w:sz w:val="22"/>
        </w:rPr>
        <w:t>love</w:t>
      </w:r>
      <w:r>
        <w:rPr>
          <w:rFonts w:ascii="Calibri"/>
          <w:spacing w:val="-7"/>
          <w:sz w:val="22"/>
        </w:rPr>
        <w:t> </w:t>
      </w:r>
      <w:r>
        <w:rPr>
          <w:rFonts w:ascii="Calibri"/>
          <w:sz w:val="22"/>
        </w:rPr>
        <w:t>self,</w:t>
      </w:r>
      <w:r>
        <w:rPr>
          <w:rFonts w:ascii="Calibri"/>
          <w:spacing w:val="-9"/>
          <w:sz w:val="22"/>
        </w:rPr>
        <w:t> </w:t>
      </w:r>
      <w:r>
        <w:rPr>
          <w:rFonts w:ascii="Calibri"/>
          <w:sz w:val="22"/>
        </w:rPr>
        <w:t>made</w:t>
      </w:r>
      <w:r>
        <w:rPr>
          <w:rFonts w:ascii="Calibri"/>
          <w:spacing w:val="-6"/>
          <w:sz w:val="22"/>
        </w:rPr>
        <w:t> </w:t>
      </w:r>
      <w:r>
        <w:rPr>
          <w:rFonts w:ascii="Calibri"/>
          <w:sz w:val="22"/>
        </w:rPr>
        <w:t>in</w:t>
      </w:r>
      <w:r>
        <w:rPr>
          <w:rFonts w:ascii="Calibri"/>
          <w:spacing w:val="-9"/>
          <w:sz w:val="22"/>
        </w:rPr>
        <w:t> </w:t>
      </w:r>
      <w:r>
        <w:rPr>
          <w:rFonts w:ascii="Calibri"/>
          <w:sz w:val="22"/>
        </w:rPr>
        <w:t>the</w:t>
      </w:r>
      <w:r>
        <w:rPr>
          <w:rFonts w:ascii="Calibri"/>
          <w:spacing w:val="-7"/>
          <w:sz w:val="22"/>
        </w:rPr>
        <w:t> </w:t>
      </w:r>
      <w:r>
        <w:rPr>
          <w:rFonts w:ascii="Calibri"/>
          <w:sz w:val="22"/>
        </w:rPr>
        <w:t>image</w:t>
      </w:r>
      <w:r>
        <w:rPr>
          <w:rFonts w:ascii="Calibri"/>
          <w:spacing w:val="-6"/>
          <w:sz w:val="22"/>
        </w:rPr>
        <w:t> </w:t>
      </w:r>
      <w:r>
        <w:rPr>
          <w:rFonts w:ascii="Calibri"/>
          <w:sz w:val="22"/>
        </w:rPr>
        <w:t>and</w:t>
      </w:r>
      <w:r>
        <w:rPr>
          <w:rFonts w:ascii="Calibri"/>
          <w:spacing w:val="-9"/>
          <w:sz w:val="22"/>
        </w:rPr>
        <w:t> </w:t>
      </w:r>
      <w:r>
        <w:rPr>
          <w:rFonts w:ascii="Calibri"/>
          <w:sz w:val="22"/>
        </w:rPr>
        <w:t>likeness</w:t>
      </w:r>
      <w:r>
        <w:rPr>
          <w:rFonts w:ascii="Calibri"/>
          <w:spacing w:val="-10"/>
          <w:sz w:val="22"/>
        </w:rPr>
        <w:t> </w:t>
      </w:r>
      <w:r>
        <w:rPr>
          <w:rFonts w:ascii="Calibri"/>
          <w:sz w:val="22"/>
        </w:rPr>
        <w:t>of</w:t>
      </w:r>
      <w:r>
        <w:rPr>
          <w:rFonts w:ascii="Calibri"/>
          <w:spacing w:val="-7"/>
          <w:sz w:val="22"/>
        </w:rPr>
        <w:t> </w:t>
      </w:r>
      <w:r>
        <w:rPr>
          <w:rFonts w:ascii="Calibri"/>
          <w:sz w:val="22"/>
        </w:rPr>
        <w:t>God,</w:t>
      </w:r>
      <w:r>
        <w:rPr>
          <w:rFonts w:ascii="Calibri"/>
          <w:spacing w:val="-8"/>
          <w:sz w:val="22"/>
        </w:rPr>
        <w:t> </w:t>
      </w:r>
      <w:r>
        <w:rPr>
          <w:rFonts w:ascii="Calibri"/>
          <w:sz w:val="22"/>
        </w:rPr>
        <w:t>shows</w:t>
      </w:r>
      <w:r>
        <w:rPr>
          <w:rFonts w:ascii="Calibri"/>
          <w:spacing w:val="-8"/>
          <w:sz w:val="22"/>
        </w:rPr>
        <w:t> </w:t>
      </w:r>
      <w:r>
        <w:rPr>
          <w:rFonts w:ascii="Calibri"/>
          <w:sz w:val="22"/>
        </w:rPr>
        <w:t>an</w:t>
      </w:r>
      <w:r>
        <w:rPr>
          <w:rFonts w:ascii="Calibri"/>
          <w:spacing w:val="-8"/>
          <w:sz w:val="22"/>
        </w:rPr>
        <w:t> </w:t>
      </w:r>
      <w:r>
        <w:rPr>
          <w:rFonts w:ascii="Calibri"/>
          <w:sz w:val="22"/>
        </w:rPr>
        <w:t>understanding</w:t>
      </w:r>
      <w:r>
        <w:rPr>
          <w:rFonts w:ascii="Calibri"/>
          <w:spacing w:val="-9"/>
          <w:sz w:val="22"/>
        </w:rPr>
        <w:t> </w:t>
      </w:r>
      <w:r>
        <w:rPr>
          <w:rFonts w:ascii="Calibri"/>
          <w:sz w:val="22"/>
        </w:rPr>
        <w:t>of</w:t>
      </w:r>
      <w:r>
        <w:rPr>
          <w:rFonts w:ascii="Calibri"/>
          <w:spacing w:val="-8"/>
          <w:sz w:val="22"/>
        </w:rPr>
        <w:t> </w:t>
      </w:r>
      <w:r>
        <w:rPr>
          <w:rFonts w:ascii="Calibri"/>
          <w:sz w:val="22"/>
        </w:rPr>
        <w:t>the</w:t>
      </w:r>
      <w:r>
        <w:rPr>
          <w:rFonts w:ascii="Calibri"/>
          <w:spacing w:val="-8"/>
          <w:sz w:val="22"/>
        </w:rPr>
        <w:t> </w:t>
      </w:r>
      <w:r>
        <w:rPr>
          <w:rFonts w:ascii="Calibri"/>
          <w:sz w:val="22"/>
        </w:rPr>
        <w:t>importance</w:t>
      </w:r>
      <w:r>
        <w:rPr>
          <w:rFonts w:ascii="Calibri"/>
          <w:spacing w:val="-9"/>
          <w:sz w:val="22"/>
        </w:rPr>
        <w:t> </w:t>
      </w:r>
      <w:r>
        <w:rPr>
          <w:rFonts w:ascii="Calibri"/>
          <w:sz w:val="22"/>
        </w:rPr>
        <w:t>of</w:t>
      </w:r>
      <w:r>
        <w:rPr>
          <w:rFonts w:ascii="Calibri"/>
          <w:spacing w:val="-8"/>
          <w:sz w:val="22"/>
        </w:rPr>
        <w:t> </w:t>
      </w:r>
      <w:r>
        <w:rPr>
          <w:rFonts w:ascii="Calibri"/>
          <w:sz w:val="22"/>
        </w:rPr>
        <w:t>valuing</w:t>
      </w:r>
      <w:r>
        <w:rPr>
          <w:rFonts w:ascii="Calibri"/>
          <w:spacing w:val="-9"/>
          <w:sz w:val="22"/>
        </w:rPr>
        <w:t> </w:t>
      </w:r>
      <w:r>
        <w:rPr>
          <w:rFonts w:ascii="Calibri"/>
          <w:sz w:val="22"/>
        </w:rPr>
        <w:t>and</w:t>
      </w:r>
      <w:r>
        <w:rPr>
          <w:rFonts w:ascii="Calibri"/>
          <w:spacing w:val="-8"/>
          <w:sz w:val="22"/>
        </w:rPr>
        <w:t> </w:t>
      </w:r>
      <w:r>
        <w:rPr>
          <w:rFonts w:ascii="Calibri"/>
          <w:sz w:val="22"/>
        </w:rPr>
        <w:t>understanding oneself as the basis for personal</w:t>
      </w:r>
      <w:r>
        <w:rPr>
          <w:rFonts w:ascii="Calibri"/>
          <w:spacing w:val="-3"/>
          <w:sz w:val="22"/>
        </w:rPr>
        <w:t> </w:t>
      </w:r>
      <w:r>
        <w:rPr>
          <w:rFonts w:ascii="Calibri"/>
          <w:sz w:val="22"/>
        </w:rPr>
        <w:t>relationships.</w:t>
      </w:r>
    </w:p>
    <w:p>
      <w:pPr>
        <w:pStyle w:val="ListParagraph"/>
        <w:numPr>
          <w:ilvl w:val="1"/>
          <w:numId w:val="23"/>
        </w:numPr>
        <w:tabs>
          <w:tab w:pos="1160" w:val="left" w:leader="none"/>
          <w:tab w:pos="1161" w:val="left" w:leader="none"/>
        </w:tabs>
        <w:spacing w:line="299" w:lineRule="exact" w:before="3" w:after="0"/>
        <w:ind w:left="1160" w:right="0" w:hanging="361"/>
        <w:jc w:val="left"/>
        <w:rPr>
          <w:rFonts w:ascii="Symbol" w:hAnsi="Symbol"/>
          <w:sz w:val="24"/>
        </w:rPr>
      </w:pPr>
      <w:r>
        <w:rPr>
          <w:rFonts w:ascii="Calibri" w:hAnsi="Calibri"/>
          <w:b/>
          <w:sz w:val="22"/>
        </w:rPr>
        <w:t>Created to love others </w:t>
      </w:r>
      <w:r>
        <w:rPr>
          <w:rFonts w:ascii="Calibri" w:hAnsi="Calibri"/>
          <w:sz w:val="22"/>
        </w:rPr>
        <w:t>(this explores an individual’s relationships with</w:t>
      </w:r>
      <w:r>
        <w:rPr>
          <w:rFonts w:ascii="Calibri" w:hAnsi="Calibri"/>
          <w:spacing w:val="-12"/>
          <w:sz w:val="22"/>
        </w:rPr>
        <w:t> </w:t>
      </w:r>
      <w:r>
        <w:rPr>
          <w:rFonts w:ascii="Calibri" w:hAnsi="Calibri"/>
          <w:sz w:val="22"/>
        </w:rPr>
        <w:t>others)</w:t>
      </w:r>
    </w:p>
    <w:p>
      <w:pPr>
        <w:spacing w:line="267" w:lineRule="exact" w:before="0"/>
        <w:ind w:left="1160" w:right="0" w:firstLine="0"/>
        <w:jc w:val="left"/>
        <w:rPr>
          <w:rFonts w:ascii="Calibri"/>
          <w:sz w:val="22"/>
        </w:rPr>
      </w:pPr>
      <w:r>
        <w:rPr>
          <w:rFonts w:ascii="Calibri"/>
          <w:sz w:val="22"/>
        </w:rPr>
        <w:t>God is love. We are created out of love and for love. The command to love is the basis of all Christian morality.</w:t>
      </w:r>
    </w:p>
    <w:p>
      <w:pPr>
        <w:pStyle w:val="ListParagraph"/>
        <w:numPr>
          <w:ilvl w:val="1"/>
          <w:numId w:val="23"/>
        </w:numPr>
        <w:tabs>
          <w:tab w:pos="1160" w:val="left" w:leader="none"/>
          <w:tab w:pos="1161" w:val="left" w:leader="none"/>
        </w:tabs>
        <w:spacing w:line="240" w:lineRule="auto" w:before="0" w:after="0"/>
        <w:ind w:left="1160" w:right="0" w:hanging="361"/>
        <w:jc w:val="left"/>
        <w:rPr>
          <w:rFonts w:ascii="Symbol" w:hAnsi="Symbol"/>
          <w:sz w:val="22"/>
        </w:rPr>
      </w:pPr>
      <w:r>
        <w:rPr>
          <w:rFonts w:ascii="Calibri" w:hAnsi="Calibri"/>
          <w:b/>
          <w:sz w:val="22"/>
        </w:rPr>
        <w:t>Created to live in community – local, national &amp; global </w:t>
      </w:r>
      <w:r>
        <w:rPr>
          <w:rFonts w:ascii="Calibri" w:hAnsi="Calibri"/>
          <w:sz w:val="22"/>
        </w:rPr>
        <w:t>(this explores the individual’s relationships with the wider</w:t>
      </w:r>
      <w:r>
        <w:rPr>
          <w:rFonts w:ascii="Calibri" w:hAnsi="Calibri"/>
          <w:spacing w:val="-19"/>
          <w:sz w:val="22"/>
        </w:rPr>
        <w:t> </w:t>
      </w:r>
      <w:r>
        <w:rPr>
          <w:rFonts w:ascii="Calibri" w:hAnsi="Calibri"/>
          <w:sz w:val="22"/>
        </w:rPr>
        <w:t>world)</w:t>
      </w:r>
    </w:p>
    <w:p>
      <w:pPr>
        <w:spacing w:before="0"/>
        <w:ind w:left="1160" w:right="0" w:firstLine="0"/>
        <w:jc w:val="left"/>
        <w:rPr>
          <w:rFonts w:ascii="Calibri"/>
          <w:sz w:val="22"/>
        </w:rPr>
      </w:pPr>
      <w:r>
        <w:rPr>
          <w:rFonts w:ascii="Calibri"/>
          <w:sz w:val="22"/>
        </w:rPr>
        <w:t>Human</w:t>
      </w:r>
      <w:r>
        <w:rPr>
          <w:rFonts w:ascii="Calibri"/>
          <w:spacing w:val="-6"/>
          <w:sz w:val="22"/>
        </w:rPr>
        <w:t> </w:t>
      </w:r>
      <w:r>
        <w:rPr>
          <w:rFonts w:ascii="Calibri"/>
          <w:sz w:val="22"/>
        </w:rPr>
        <w:t>beings</w:t>
      </w:r>
      <w:r>
        <w:rPr>
          <w:rFonts w:ascii="Calibri"/>
          <w:spacing w:val="-6"/>
          <w:sz w:val="22"/>
        </w:rPr>
        <w:t> </w:t>
      </w:r>
      <w:r>
        <w:rPr>
          <w:rFonts w:ascii="Calibri"/>
          <w:sz w:val="22"/>
        </w:rPr>
        <w:t>are</w:t>
      </w:r>
      <w:r>
        <w:rPr>
          <w:rFonts w:ascii="Calibri"/>
          <w:spacing w:val="-4"/>
          <w:sz w:val="22"/>
        </w:rPr>
        <w:t> </w:t>
      </w:r>
      <w:r>
        <w:rPr>
          <w:rFonts w:ascii="Calibri"/>
          <w:sz w:val="22"/>
        </w:rPr>
        <w:t>relational</w:t>
      </w:r>
      <w:r>
        <w:rPr>
          <w:rFonts w:ascii="Calibri"/>
          <w:spacing w:val="-6"/>
          <w:sz w:val="22"/>
        </w:rPr>
        <w:t> </w:t>
      </w:r>
      <w:r>
        <w:rPr>
          <w:rFonts w:ascii="Calibri"/>
          <w:sz w:val="22"/>
        </w:rPr>
        <w:t>by</w:t>
      </w:r>
      <w:r>
        <w:rPr>
          <w:rFonts w:ascii="Calibri"/>
          <w:spacing w:val="-4"/>
          <w:sz w:val="22"/>
        </w:rPr>
        <w:t> </w:t>
      </w:r>
      <w:r>
        <w:rPr>
          <w:rFonts w:ascii="Calibri"/>
          <w:sz w:val="22"/>
        </w:rPr>
        <w:t>nature</w:t>
      </w:r>
      <w:r>
        <w:rPr>
          <w:rFonts w:ascii="Calibri"/>
          <w:spacing w:val="-5"/>
          <w:sz w:val="22"/>
        </w:rPr>
        <w:t> </w:t>
      </w:r>
      <w:r>
        <w:rPr>
          <w:rFonts w:ascii="Calibri"/>
          <w:sz w:val="22"/>
        </w:rPr>
        <w:t>and</w:t>
      </w:r>
      <w:r>
        <w:rPr>
          <w:rFonts w:ascii="Calibri"/>
          <w:spacing w:val="-5"/>
          <w:sz w:val="22"/>
        </w:rPr>
        <w:t> </w:t>
      </w:r>
      <w:r>
        <w:rPr>
          <w:rFonts w:ascii="Calibri"/>
          <w:sz w:val="22"/>
        </w:rPr>
        <w:t>live</w:t>
      </w:r>
      <w:r>
        <w:rPr>
          <w:rFonts w:ascii="Calibri"/>
          <w:spacing w:val="-7"/>
          <w:sz w:val="22"/>
        </w:rPr>
        <w:t> </w:t>
      </w:r>
      <w:r>
        <w:rPr>
          <w:rFonts w:ascii="Calibri"/>
          <w:sz w:val="22"/>
        </w:rPr>
        <w:t>in</w:t>
      </w:r>
      <w:r>
        <w:rPr>
          <w:rFonts w:ascii="Calibri"/>
          <w:spacing w:val="-6"/>
          <w:sz w:val="22"/>
        </w:rPr>
        <w:t> </w:t>
      </w:r>
      <w:r>
        <w:rPr>
          <w:rFonts w:ascii="Calibri"/>
          <w:sz w:val="22"/>
        </w:rPr>
        <w:t>the</w:t>
      </w:r>
      <w:r>
        <w:rPr>
          <w:rFonts w:ascii="Calibri"/>
          <w:spacing w:val="-10"/>
          <w:sz w:val="22"/>
        </w:rPr>
        <w:t> </w:t>
      </w:r>
      <w:r>
        <w:rPr>
          <w:rFonts w:ascii="Calibri"/>
          <w:sz w:val="22"/>
        </w:rPr>
        <w:t>wider</w:t>
      </w:r>
      <w:r>
        <w:rPr>
          <w:rFonts w:ascii="Calibri"/>
          <w:spacing w:val="-6"/>
          <w:sz w:val="22"/>
        </w:rPr>
        <w:t> </w:t>
      </w:r>
      <w:r>
        <w:rPr>
          <w:rFonts w:ascii="Calibri"/>
          <w:sz w:val="22"/>
        </w:rPr>
        <w:t>community.</w:t>
      </w:r>
      <w:r>
        <w:rPr>
          <w:rFonts w:ascii="Calibri"/>
          <w:spacing w:val="-8"/>
          <w:sz w:val="22"/>
        </w:rPr>
        <w:t> </w:t>
      </w:r>
      <w:r>
        <w:rPr>
          <w:rFonts w:ascii="Calibri"/>
          <w:sz w:val="22"/>
        </w:rPr>
        <w:t>Through</w:t>
      </w:r>
      <w:r>
        <w:rPr>
          <w:rFonts w:ascii="Calibri"/>
          <w:spacing w:val="-9"/>
          <w:sz w:val="22"/>
        </w:rPr>
        <w:t> </w:t>
      </w:r>
      <w:r>
        <w:rPr>
          <w:rFonts w:ascii="Calibri"/>
          <w:sz w:val="22"/>
        </w:rPr>
        <w:t>our</w:t>
      </w:r>
      <w:r>
        <w:rPr>
          <w:rFonts w:ascii="Calibri"/>
          <w:spacing w:val="-7"/>
          <w:sz w:val="22"/>
        </w:rPr>
        <w:t> </w:t>
      </w:r>
      <w:r>
        <w:rPr>
          <w:rFonts w:ascii="Calibri"/>
          <w:sz w:val="22"/>
        </w:rPr>
        <w:t>exchange</w:t>
      </w:r>
      <w:r>
        <w:rPr>
          <w:rFonts w:ascii="Calibri"/>
          <w:spacing w:val="-7"/>
          <w:sz w:val="22"/>
        </w:rPr>
        <w:t> </w:t>
      </w:r>
      <w:r>
        <w:rPr>
          <w:rFonts w:ascii="Calibri"/>
          <w:sz w:val="22"/>
        </w:rPr>
        <w:t>with</w:t>
      </w:r>
      <w:r>
        <w:rPr>
          <w:rFonts w:ascii="Calibri"/>
          <w:spacing w:val="-7"/>
          <w:sz w:val="22"/>
        </w:rPr>
        <w:t> </w:t>
      </w:r>
      <w:r>
        <w:rPr>
          <w:rFonts w:ascii="Calibri"/>
          <w:sz w:val="22"/>
        </w:rPr>
        <w:t>others,</w:t>
      </w:r>
      <w:r>
        <w:rPr>
          <w:rFonts w:ascii="Calibri"/>
          <w:spacing w:val="-10"/>
          <w:sz w:val="22"/>
        </w:rPr>
        <w:t> </w:t>
      </w:r>
      <w:r>
        <w:rPr>
          <w:rFonts w:ascii="Calibri"/>
          <w:sz w:val="22"/>
        </w:rPr>
        <w:t>our</w:t>
      </w:r>
      <w:r>
        <w:rPr>
          <w:rFonts w:ascii="Calibri"/>
          <w:spacing w:val="-7"/>
          <w:sz w:val="22"/>
        </w:rPr>
        <w:t> </w:t>
      </w:r>
      <w:r>
        <w:rPr>
          <w:rFonts w:ascii="Calibri"/>
          <w:sz w:val="22"/>
        </w:rPr>
        <w:t>mutual</w:t>
      </w:r>
      <w:r>
        <w:rPr>
          <w:rFonts w:ascii="Calibri"/>
          <w:spacing w:val="-6"/>
          <w:sz w:val="22"/>
        </w:rPr>
        <w:t> </w:t>
      </w:r>
      <w:r>
        <w:rPr>
          <w:rFonts w:ascii="Calibri"/>
          <w:sz w:val="22"/>
        </w:rPr>
        <w:t>service</w:t>
      </w:r>
      <w:r>
        <w:rPr>
          <w:rFonts w:ascii="Calibri"/>
          <w:spacing w:val="-4"/>
          <w:sz w:val="22"/>
        </w:rPr>
        <w:t> </w:t>
      </w:r>
      <w:r>
        <w:rPr>
          <w:rFonts w:ascii="Calibri"/>
          <w:sz w:val="22"/>
        </w:rPr>
        <w:t>and</w:t>
      </w:r>
      <w:r>
        <w:rPr>
          <w:rFonts w:ascii="Calibri"/>
          <w:spacing w:val="-9"/>
          <w:sz w:val="22"/>
        </w:rPr>
        <w:t> </w:t>
      </w:r>
      <w:r>
        <w:rPr>
          <w:rFonts w:ascii="Calibri"/>
          <w:sz w:val="22"/>
        </w:rPr>
        <w:t>through</w:t>
      </w:r>
      <w:r>
        <w:rPr>
          <w:rFonts w:ascii="Calibri"/>
          <w:spacing w:val="-5"/>
          <w:sz w:val="22"/>
        </w:rPr>
        <w:t> </w:t>
      </w:r>
      <w:r>
        <w:rPr>
          <w:rFonts w:ascii="Calibri"/>
          <w:sz w:val="22"/>
        </w:rPr>
        <w:t>dialogue, we attempt to proclaim and extend the Kingdom of God for the good of individuals and the good of</w:t>
      </w:r>
      <w:r>
        <w:rPr>
          <w:rFonts w:ascii="Calibri"/>
          <w:spacing w:val="-28"/>
          <w:sz w:val="22"/>
        </w:rPr>
        <w:t> </w:t>
      </w:r>
      <w:r>
        <w:rPr>
          <w:rFonts w:ascii="Calibri"/>
          <w:sz w:val="22"/>
        </w:rPr>
        <w:t>society.</w:t>
      </w:r>
    </w:p>
    <w:p>
      <w:pPr>
        <w:pStyle w:val="BodyText"/>
        <w:spacing w:before="11"/>
        <w:rPr>
          <w:rFonts w:ascii="Calibri"/>
          <w:sz w:val="21"/>
        </w:rPr>
      </w:pPr>
    </w:p>
    <w:p>
      <w:pPr>
        <w:spacing w:before="0"/>
        <w:ind w:left="440" w:right="0" w:firstLine="0"/>
        <w:jc w:val="left"/>
        <w:rPr>
          <w:rFonts w:ascii="Calibri" w:hAnsi="Calibri"/>
          <w:sz w:val="22"/>
        </w:rPr>
      </w:pPr>
      <w:r>
        <w:rPr>
          <w:rFonts w:ascii="Calibri" w:hAnsi="Calibri"/>
          <w:sz w:val="22"/>
        </w:rPr>
        <w:t>Each theme covers the core strands of ‘Education in Virtue’ and ‘Religious Understanding’ as well as strands which cover the PSHE content of the theme.</w:t>
      </w:r>
    </w:p>
    <w:p>
      <w:pPr>
        <w:pStyle w:val="BodyText"/>
        <w:spacing w:before="5"/>
        <w:rPr>
          <w:rFonts w:ascii="Calibri"/>
          <w:sz w:val="25"/>
        </w:rPr>
      </w:pPr>
    </w:p>
    <w:p>
      <w:pPr>
        <w:pStyle w:val="BodyText"/>
        <w:ind w:left="440"/>
        <w:rPr>
          <w:rFonts w:ascii="Calibri Light"/>
          <w:b w:val="0"/>
        </w:rPr>
      </w:pPr>
      <w:r>
        <w:rPr>
          <w:rFonts w:ascii="Calibri Light"/>
          <w:b w:val="0"/>
          <w:color w:val="1C3D94"/>
        </w:rPr>
        <w:t>Christian virtue and RSE</w:t>
      </w:r>
    </w:p>
    <w:p>
      <w:pPr>
        <w:spacing w:line="240" w:lineRule="auto" w:before="24"/>
        <w:ind w:left="440" w:right="111" w:firstLine="0"/>
        <w:jc w:val="both"/>
        <w:rPr>
          <w:rFonts w:ascii="Calibri"/>
          <w:sz w:val="22"/>
        </w:rPr>
      </w:pPr>
      <w:r>
        <w:rPr>
          <w:rFonts w:ascii="Calibri"/>
          <w:sz w:val="22"/>
        </w:rPr>
        <w:t>Each</w:t>
      </w:r>
      <w:r>
        <w:rPr>
          <w:rFonts w:ascii="Calibri"/>
          <w:spacing w:val="-11"/>
          <w:sz w:val="22"/>
        </w:rPr>
        <w:t> </w:t>
      </w:r>
      <w:r>
        <w:rPr>
          <w:rFonts w:ascii="Calibri"/>
          <w:sz w:val="22"/>
        </w:rPr>
        <w:t>theme</w:t>
      </w:r>
      <w:r>
        <w:rPr>
          <w:rFonts w:ascii="Calibri"/>
          <w:spacing w:val="-10"/>
          <w:sz w:val="22"/>
        </w:rPr>
        <w:t> </w:t>
      </w:r>
      <w:r>
        <w:rPr>
          <w:rFonts w:ascii="Calibri"/>
          <w:sz w:val="22"/>
        </w:rPr>
        <w:t>begins</w:t>
      </w:r>
      <w:r>
        <w:rPr>
          <w:rFonts w:ascii="Calibri"/>
          <w:spacing w:val="-13"/>
          <w:sz w:val="22"/>
        </w:rPr>
        <w:t> </w:t>
      </w:r>
      <w:r>
        <w:rPr>
          <w:rFonts w:ascii="Calibri"/>
          <w:sz w:val="22"/>
        </w:rPr>
        <w:t>with</w:t>
      </w:r>
      <w:r>
        <w:rPr>
          <w:rFonts w:ascii="Calibri"/>
          <w:spacing w:val="-11"/>
          <w:sz w:val="22"/>
        </w:rPr>
        <w:t> </w:t>
      </w:r>
      <w:r>
        <w:rPr>
          <w:rFonts w:ascii="Calibri"/>
          <w:sz w:val="22"/>
        </w:rPr>
        <w:t>a</w:t>
      </w:r>
      <w:r>
        <w:rPr>
          <w:rFonts w:ascii="Calibri"/>
          <w:spacing w:val="-12"/>
          <w:sz w:val="22"/>
        </w:rPr>
        <w:t> </w:t>
      </w:r>
      <w:r>
        <w:rPr>
          <w:rFonts w:ascii="Calibri"/>
          <w:sz w:val="22"/>
        </w:rPr>
        <w:t>statement</w:t>
      </w:r>
      <w:r>
        <w:rPr>
          <w:rFonts w:ascii="Calibri"/>
          <w:spacing w:val="-12"/>
          <w:sz w:val="22"/>
        </w:rPr>
        <w:t> </w:t>
      </w:r>
      <w:r>
        <w:rPr>
          <w:rFonts w:ascii="Calibri"/>
          <w:sz w:val="22"/>
        </w:rPr>
        <w:t>of</w:t>
      </w:r>
      <w:r>
        <w:rPr>
          <w:rFonts w:ascii="Calibri"/>
          <w:spacing w:val="-13"/>
          <w:sz w:val="22"/>
        </w:rPr>
        <w:t> </w:t>
      </w:r>
      <w:r>
        <w:rPr>
          <w:rFonts w:ascii="Calibri"/>
          <w:sz w:val="22"/>
        </w:rPr>
        <w:t>the</w:t>
      </w:r>
      <w:r>
        <w:rPr>
          <w:rFonts w:ascii="Calibri"/>
          <w:spacing w:val="-13"/>
          <w:sz w:val="22"/>
        </w:rPr>
        <w:t> </w:t>
      </w:r>
      <w:r>
        <w:rPr>
          <w:rFonts w:ascii="Calibri"/>
          <w:sz w:val="22"/>
        </w:rPr>
        <w:t>virtues</w:t>
      </w:r>
      <w:r>
        <w:rPr>
          <w:rFonts w:ascii="Calibri"/>
          <w:spacing w:val="-12"/>
          <w:sz w:val="22"/>
        </w:rPr>
        <w:t> </w:t>
      </w:r>
      <w:r>
        <w:rPr>
          <w:rFonts w:ascii="Calibri"/>
          <w:sz w:val="22"/>
        </w:rPr>
        <w:t>which</w:t>
      </w:r>
      <w:r>
        <w:rPr>
          <w:rFonts w:ascii="Calibri"/>
          <w:spacing w:val="-10"/>
          <w:sz w:val="22"/>
        </w:rPr>
        <w:t> </w:t>
      </w:r>
      <w:r>
        <w:rPr>
          <w:rFonts w:ascii="Calibri"/>
          <w:sz w:val="22"/>
        </w:rPr>
        <w:t>are</w:t>
      </w:r>
      <w:r>
        <w:rPr>
          <w:rFonts w:ascii="Calibri"/>
          <w:spacing w:val="-10"/>
          <w:sz w:val="22"/>
        </w:rPr>
        <w:t> </w:t>
      </w:r>
      <w:r>
        <w:rPr>
          <w:rFonts w:ascii="Calibri"/>
          <w:sz w:val="22"/>
        </w:rPr>
        <w:t>necessary</w:t>
      </w:r>
      <w:r>
        <w:rPr>
          <w:rFonts w:ascii="Calibri"/>
          <w:spacing w:val="-12"/>
          <w:sz w:val="22"/>
        </w:rPr>
        <w:t> </w:t>
      </w:r>
      <w:r>
        <w:rPr>
          <w:rFonts w:ascii="Calibri"/>
          <w:sz w:val="22"/>
        </w:rPr>
        <w:t>to</w:t>
      </w:r>
      <w:r>
        <w:rPr>
          <w:rFonts w:ascii="Calibri"/>
          <w:spacing w:val="-11"/>
          <w:sz w:val="22"/>
        </w:rPr>
        <w:t> </w:t>
      </w:r>
      <w:r>
        <w:rPr>
          <w:rFonts w:ascii="Calibri"/>
          <w:sz w:val="22"/>
        </w:rPr>
        <w:t>living</w:t>
      </w:r>
      <w:r>
        <w:rPr>
          <w:rFonts w:ascii="Calibri"/>
          <w:spacing w:val="-14"/>
          <w:sz w:val="22"/>
        </w:rPr>
        <w:t> </w:t>
      </w:r>
      <w:r>
        <w:rPr>
          <w:rFonts w:ascii="Calibri"/>
          <w:sz w:val="22"/>
        </w:rPr>
        <w:t>well</w:t>
      </w:r>
      <w:r>
        <w:rPr>
          <w:rFonts w:ascii="Calibri"/>
          <w:spacing w:val="-10"/>
          <w:sz w:val="22"/>
        </w:rPr>
        <w:t> </w:t>
      </w:r>
      <w:r>
        <w:rPr>
          <w:rFonts w:ascii="Calibri"/>
          <w:sz w:val="22"/>
        </w:rPr>
        <w:t>in</w:t>
      </w:r>
      <w:r>
        <w:rPr>
          <w:rFonts w:ascii="Calibri"/>
          <w:spacing w:val="-11"/>
          <w:sz w:val="22"/>
        </w:rPr>
        <w:t> </w:t>
      </w:r>
      <w:r>
        <w:rPr>
          <w:rFonts w:ascii="Calibri"/>
          <w:sz w:val="22"/>
        </w:rPr>
        <w:t>relationship</w:t>
      </w:r>
      <w:r>
        <w:rPr>
          <w:rFonts w:ascii="Calibri"/>
          <w:spacing w:val="-11"/>
          <w:sz w:val="22"/>
        </w:rPr>
        <w:t> </w:t>
      </w:r>
      <w:r>
        <w:rPr>
          <w:rFonts w:ascii="Calibri"/>
          <w:sz w:val="22"/>
        </w:rPr>
        <w:t>with</w:t>
      </w:r>
      <w:r>
        <w:rPr>
          <w:rFonts w:ascii="Calibri"/>
          <w:spacing w:val="-13"/>
          <w:sz w:val="22"/>
        </w:rPr>
        <w:t> </w:t>
      </w:r>
      <w:r>
        <w:rPr>
          <w:rFonts w:ascii="Calibri"/>
          <w:sz w:val="22"/>
        </w:rPr>
        <w:t>others</w:t>
      </w:r>
      <w:r>
        <w:rPr>
          <w:rFonts w:ascii="Calibri"/>
          <w:spacing w:val="-10"/>
          <w:sz w:val="22"/>
        </w:rPr>
        <w:t> </w:t>
      </w:r>
      <w:r>
        <w:rPr>
          <w:rFonts w:ascii="Calibri"/>
          <w:sz w:val="22"/>
        </w:rPr>
        <w:t>and</w:t>
      </w:r>
      <w:r>
        <w:rPr>
          <w:rFonts w:ascii="Calibri"/>
          <w:spacing w:val="-10"/>
          <w:sz w:val="22"/>
        </w:rPr>
        <w:t> </w:t>
      </w:r>
      <w:r>
        <w:rPr>
          <w:rFonts w:ascii="Calibri"/>
          <w:sz w:val="22"/>
        </w:rPr>
        <w:t>these</w:t>
      </w:r>
      <w:r>
        <w:rPr>
          <w:rFonts w:ascii="Calibri"/>
          <w:spacing w:val="-12"/>
          <w:sz w:val="22"/>
        </w:rPr>
        <w:t> </w:t>
      </w:r>
      <w:r>
        <w:rPr>
          <w:rFonts w:ascii="Calibri"/>
          <w:sz w:val="22"/>
        </w:rPr>
        <w:t>virtues</w:t>
      </w:r>
      <w:r>
        <w:rPr>
          <w:rFonts w:ascii="Calibri"/>
          <w:spacing w:val="-10"/>
          <w:sz w:val="22"/>
        </w:rPr>
        <w:t> </w:t>
      </w:r>
      <w:r>
        <w:rPr>
          <w:rFonts w:ascii="Calibri"/>
          <w:sz w:val="22"/>
        </w:rPr>
        <w:t>should</w:t>
      </w:r>
      <w:r>
        <w:rPr>
          <w:rFonts w:ascii="Calibri"/>
          <w:spacing w:val="-11"/>
          <w:sz w:val="22"/>
        </w:rPr>
        <w:t> </w:t>
      </w:r>
      <w:r>
        <w:rPr>
          <w:rFonts w:ascii="Calibri"/>
          <w:sz w:val="22"/>
        </w:rPr>
        <w:t>underpin</w:t>
      </w:r>
      <w:r>
        <w:rPr>
          <w:rFonts w:ascii="Calibri"/>
          <w:spacing w:val="-11"/>
          <w:sz w:val="22"/>
        </w:rPr>
        <w:t> </w:t>
      </w:r>
      <w:r>
        <w:rPr>
          <w:rFonts w:ascii="Calibri"/>
          <w:sz w:val="22"/>
        </w:rPr>
        <w:t>the</w:t>
      </w:r>
      <w:r>
        <w:rPr>
          <w:rFonts w:ascii="Calibri"/>
          <w:spacing w:val="-9"/>
          <w:sz w:val="22"/>
        </w:rPr>
        <w:t> </w:t>
      </w:r>
      <w:r>
        <w:rPr>
          <w:rFonts w:ascii="Calibri"/>
          <w:sz w:val="22"/>
        </w:rPr>
        <w:t>teaching but</w:t>
      </w:r>
      <w:r>
        <w:rPr>
          <w:rFonts w:ascii="Calibri"/>
          <w:spacing w:val="-7"/>
          <w:sz w:val="22"/>
        </w:rPr>
        <w:t> </w:t>
      </w:r>
      <w:r>
        <w:rPr>
          <w:rFonts w:ascii="Calibri"/>
          <w:sz w:val="22"/>
        </w:rPr>
        <w:t>also</w:t>
      </w:r>
      <w:r>
        <w:rPr>
          <w:rFonts w:ascii="Calibri"/>
          <w:spacing w:val="-8"/>
          <w:sz w:val="22"/>
        </w:rPr>
        <w:t> </w:t>
      </w:r>
      <w:r>
        <w:rPr>
          <w:rFonts w:ascii="Calibri"/>
          <w:sz w:val="22"/>
        </w:rPr>
        <w:t>should</w:t>
      </w:r>
      <w:r>
        <w:rPr>
          <w:rFonts w:ascii="Calibri"/>
          <w:spacing w:val="-11"/>
          <w:sz w:val="22"/>
        </w:rPr>
        <w:t> </w:t>
      </w:r>
      <w:r>
        <w:rPr>
          <w:rFonts w:ascii="Calibri"/>
          <w:sz w:val="22"/>
        </w:rPr>
        <w:t>emerge</w:t>
      </w:r>
      <w:r>
        <w:rPr>
          <w:rFonts w:ascii="Calibri"/>
          <w:spacing w:val="-7"/>
          <w:sz w:val="22"/>
        </w:rPr>
        <w:t> </w:t>
      </w:r>
      <w:r>
        <w:rPr>
          <w:rFonts w:ascii="Calibri"/>
          <w:sz w:val="22"/>
        </w:rPr>
        <w:t>as</w:t>
      </w:r>
      <w:r>
        <w:rPr>
          <w:rFonts w:ascii="Calibri"/>
          <w:spacing w:val="-11"/>
          <w:sz w:val="22"/>
        </w:rPr>
        <w:t> </w:t>
      </w:r>
      <w:r>
        <w:rPr>
          <w:rFonts w:ascii="Calibri"/>
          <w:sz w:val="22"/>
        </w:rPr>
        <w:t>a</w:t>
      </w:r>
      <w:r>
        <w:rPr>
          <w:rFonts w:ascii="Calibri"/>
          <w:spacing w:val="-7"/>
          <w:sz w:val="22"/>
        </w:rPr>
        <w:t> </w:t>
      </w:r>
      <w:r>
        <w:rPr>
          <w:rFonts w:ascii="Calibri"/>
          <w:sz w:val="22"/>
        </w:rPr>
        <w:t>consequence</w:t>
      </w:r>
      <w:r>
        <w:rPr>
          <w:rFonts w:ascii="Calibri"/>
          <w:spacing w:val="-10"/>
          <w:sz w:val="22"/>
        </w:rPr>
        <w:t> </w:t>
      </w:r>
      <w:r>
        <w:rPr>
          <w:rFonts w:ascii="Calibri"/>
          <w:sz w:val="22"/>
        </w:rPr>
        <w:t>of</w:t>
      </w:r>
      <w:r>
        <w:rPr>
          <w:rFonts w:ascii="Calibri"/>
          <w:spacing w:val="-7"/>
          <w:sz w:val="22"/>
        </w:rPr>
        <w:t> </w:t>
      </w:r>
      <w:r>
        <w:rPr>
          <w:rFonts w:ascii="Calibri"/>
          <w:sz w:val="22"/>
        </w:rPr>
        <w:t>it.</w:t>
      </w:r>
      <w:r>
        <w:rPr>
          <w:rFonts w:ascii="Calibri"/>
          <w:spacing w:val="-8"/>
          <w:sz w:val="22"/>
        </w:rPr>
        <w:t> </w:t>
      </w:r>
      <w:r>
        <w:rPr>
          <w:rFonts w:ascii="Calibri"/>
          <w:sz w:val="22"/>
        </w:rPr>
        <w:t>Virtues</w:t>
      </w:r>
      <w:r>
        <w:rPr>
          <w:rFonts w:ascii="Calibri"/>
          <w:spacing w:val="-7"/>
          <w:sz w:val="22"/>
        </w:rPr>
        <w:t> </w:t>
      </w:r>
      <w:r>
        <w:rPr>
          <w:rFonts w:ascii="Calibri"/>
          <w:sz w:val="22"/>
        </w:rPr>
        <w:t>are</w:t>
      </w:r>
      <w:r>
        <w:rPr>
          <w:rFonts w:ascii="Calibri"/>
          <w:spacing w:val="-8"/>
          <w:sz w:val="22"/>
        </w:rPr>
        <w:t> </w:t>
      </w:r>
      <w:r>
        <w:rPr>
          <w:rFonts w:ascii="Calibri"/>
          <w:sz w:val="22"/>
        </w:rPr>
        <w:t>habits</w:t>
      </w:r>
      <w:r>
        <w:rPr>
          <w:rFonts w:ascii="Calibri"/>
          <w:spacing w:val="-7"/>
          <w:sz w:val="22"/>
        </w:rPr>
        <w:t> </w:t>
      </w:r>
      <w:r>
        <w:rPr>
          <w:rFonts w:ascii="Calibri"/>
          <w:sz w:val="22"/>
        </w:rPr>
        <w:t>which</w:t>
      </w:r>
      <w:r>
        <w:rPr>
          <w:rFonts w:ascii="Calibri"/>
          <w:spacing w:val="-9"/>
          <w:sz w:val="22"/>
        </w:rPr>
        <w:t> </w:t>
      </w:r>
      <w:r>
        <w:rPr>
          <w:rFonts w:ascii="Calibri"/>
          <w:sz w:val="22"/>
        </w:rPr>
        <w:t>are</w:t>
      </w:r>
      <w:r>
        <w:rPr>
          <w:rFonts w:ascii="Calibri"/>
          <w:spacing w:val="-7"/>
          <w:sz w:val="22"/>
        </w:rPr>
        <w:t> </w:t>
      </w:r>
      <w:r>
        <w:rPr>
          <w:rFonts w:ascii="Calibri"/>
          <w:sz w:val="22"/>
        </w:rPr>
        <w:t>learned</w:t>
      </w:r>
      <w:r>
        <w:rPr>
          <w:rFonts w:ascii="Calibri"/>
          <w:spacing w:val="-7"/>
          <w:sz w:val="22"/>
        </w:rPr>
        <w:t> </w:t>
      </w:r>
      <w:r>
        <w:rPr>
          <w:rFonts w:ascii="Calibri"/>
          <w:sz w:val="22"/>
        </w:rPr>
        <w:t>from</w:t>
      </w:r>
      <w:r>
        <w:rPr>
          <w:rFonts w:ascii="Calibri"/>
          <w:spacing w:val="-7"/>
          <w:sz w:val="22"/>
        </w:rPr>
        <w:t> </w:t>
      </w:r>
      <w:r>
        <w:rPr>
          <w:rFonts w:ascii="Calibri"/>
          <w:sz w:val="22"/>
        </w:rPr>
        <w:t>experience,</w:t>
      </w:r>
      <w:r>
        <w:rPr>
          <w:rFonts w:ascii="Calibri"/>
          <w:spacing w:val="-7"/>
          <w:sz w:val="22"/>
        </w:rPr>
        <w:t> </w:t>
      </w:r>
      <w:r>
        <w:rPr>
          <w:rFonts w:ascii="Calibri"/>
          <w:sz w:val="22"/>
        </w:rPr>
        <w:t>and</w:t>
      </w:r>
      <w:r>
        <w:rPr>
          <w:rFonts w:ascii="Calibri"/>
          <w:spacing w:val="-9"/>
          <w:sz w:val="22"/>
        </w:rPr>
        <w:t> </w:t>
      </w:r>
      <w:r>
        <w:rPr>
          <w:rFonts w:ascii="Calibri"/>
          <w:sz w:val="22"/>
        </w:rPr>
        <w:t>are</w:t>
      </w:r>
      <w:r>
        <w:rPr>
          <w:rFonts w:ascii="Calibri"/>
          <w:spacing w:val="-8"/>
          <w:sz w:val="22"/>
        </w:rPr>
        <w:t> </w:t>
      </w:r>
      <w:r>
        <w:rPr>
          <w:rFonts w:ascii="Calibri"/>
          <w:sz w:val="22"/>
        </w:rPr>
        <w:t>gained</w:t>
      </w:r>
      <w:r>
        <w:rPr>
          <w:rFonts w:ascii="Calibri"/>
          <w:spacing w:val="-8"/>
          <w:sz w:val="22"/>
        </w:rPr>
        <w:t> </w:t>
      </w:r>
      <w:r>
        <w:rPr>
          <w:rFonts w:ascii="Calibri"/>
          <w:sz w:val="22"/>
        </w:rPr>
        <w:t>through</w:t>
      </w:r>
      <w:r>
        <w:rPr>
          <w:rFonts w:ascii="Calibri"/>
          <w:spacing w:val="-8"/>
          <w:sz w:val="22"/>
        </w:rPr>
        <w:t> </w:t>
      </w:r>
      <w:r>
        <w:rPr>
          <w:rFonts w:ascii="Calibri"/>
          <w:sz w:val="22"/>
        </w:rPr>
        <w:t>imitation</w:t>
      </w:r>
      <w:r>
        <w:rPr>
          <w:rFonts w:ascii="Calibri"/>
          <w:spacing w:val="-11"/>
          <w:sz w:val="22"/>
        </w:rPr>
        <w:t> </w:t>
      </w:r>
      <w:r>
        <w:rPr>
          <w:rFonts w:ascii="Calibri"/>
          <w:sz w:val="22"/>
        </w:rPr>
        <w:t>the</w:t>
      </w:r>
      <w:r>
        <w:rPr>
          <w:rFonts w:ascii="Calibri"/>
          <w:spacing w:val="-7"/>
          <w:sz w:val="22"/>
        </w:rPr>
        <w:t> </w:t>
      </w:r>
      <w:r>
        <w:rPr>
          <w:rFonts w:ascii="Calibri"/>
          <w:sz w:val="22"/>
        </w:rPr>
        <w:t>same</w:t>
      </w:r>
      <w:r>
        <w:rPr>
          <w:rFonts w:ascii="Calibri"/>
          <w:spacing w:val="-10"/>
          <w:sz w:val="22"/>
        </w:rPr>
        <w:t> </w:t>
      </w:r>
      <w:r>
        <w:rPr>
          <w:rFonts w:ascii="Calibri"/>
          <w:sz w:val="22"/>
        </w:rPr>
        <w:t>virtues</w:t>
      </w:r>
      <w:r>
        <w:rPr>
          <w:rFonts w:ascii="Calibri"/>
          <w:spacing w:val="-6"/>
          <w:sz w:val="22"/>
        </w:rPr>
        <w:t> </w:t>
      </w:r>
      <w:r>
        <w:rPr>
          <w:rFonts w:ascii="Calibri"/>
          <w:sz w:val="22"/>
        </w:rPr>
        <w:t>being modelled</w:t>
      </w:r>
      <w:r>
        <w:rPr>
          <w:rFonts w:ascii="Calibri"/>
          <w:spacing w:val="-6"/>
          <w:sz w:val="22"/>
        </w:rPr>
        <w:t> </w:t>
      </w:r>
      <w:r>
        <w:rPr>
          <w:rFonts w:ascii="Calibri"/>
          <w:sz w:val="22"/>
        </w:rPr>
        <w:t>by</w:t>
      </w:r>
      <w:r>
        <w:rPr>
          <w:rFonts w:ascii="Calibri"/>
          <w:spacing w:val="-5"/>
          <w:sz w:val="22"/>
        </w:rPr>
        <w:t> </w:t>
      </w:r>
      <w:r>
        <w:rPr>
          <w:rFonts w:ascii="Calibri"/>
          <w:sz w:val="22"/>
        </w:rPr>
        <w:t>those</w:t>
      </w:r>
      <w:r>
        <w:rPr>
          <w:rFonts w:ascii="Calibri"/>
          <w:spacing w:val="-8"/>
          <w:sz w:val="22"/>
        </w:rPr>
        <w:t> </w:t>
      </w:r>
      <w:r>
        <w:rPr>
          <w:rFonts w:ascii="Calibri"/>
          <w:sz w:val="22"/>
        </w:rPr>
        <w:t>who</w:t>
      </w:r>
      <w:r>
        <w:rPr>
          <w:rFonts w:ascii="Calibri"/>
          <w:spacing w:val="-4"/>
          <w:sz w:val="22"/>
        </w:rPr>
        <w:t> </w:t>
      </w:r>
      <w:r>
        <w:rPr>
          <w:rFonts w:ascii="Calibri"/>
          <w:sz w:val="22"/>
        </w:rPr>
        <w:t>teach.</w:t>
      </w:r>
      <w:r>
        <w:rPr>
          <w:rFonts w:ascii="Calibri"/>
          <w:spacing w:val="-6"/>
          <w:sz w:val="22"/>
        </w:rPr>
        <w:t> </w:t>
      </w:r>
      <w:r>
        <w:rPr>
          <w:rFonts w:ascii="Calibri"/>
          <w:sz w:val="22"/>
        </w:rPr>
        <w:t>They</w:t>
      </w:r>
      <w:r>
        <w:rPr>
          <w:rFonts w:ascii="Calibri"/>
          <w:spacing w:val="-5"/>
          <w:sz w:val="22"/>
        </w:rPr>
        <w:t> </w:t>
      </w:r>
      <w:r>
        <w:rPr>
          <w:rFonts w:ascii="Calibri"/>
          <w:sz w:val="22"/>
        </w:rPr>
        <w:t>express</w:t>
      </w:r>
      <w:r>
        <w:rPr>
          <w:rFonts w:ascii="Calibri"/>
          <w:spacing w:val="-5"/>
          <w:sz w:val="22"/>
        </w:rPr>
        <w:t> </w:t>
      </w:r>
      <w:r>
        <w:rPr>
          <w:rFonts w:ascii="Calibri"/>
          <w:sz w:val="22"/>
        </w:rPr>
        <w:t>the</w:t>
      </w:r>
      <w:r>
        <w:rPr>
          <w:rFonts w:ascii="Calibri"/>
          <w:spacing w:val="-5"/>
          <w:sz w:val="22"/>
        </w:rPr>
        <w:t> </w:t>
      </w:r>
      <w:r>
        <w:rPr>
          <w:rFonts w:ascii="Calibri"/>
          <w:sz w:val="22"/>
        </w:rPr>
        <w:t>qualities</w:t>
      </w:r>
      <w:r>
        <w:rPr>
          <w:rFonts w:ascii="Calibri"/>
          <w:spacing w:val="-5"/>
          <w:sz w:val="22"/>
        </w:rPr>
        <w:t> </w:t>
      </w:r>
      <w:r>
        <w:rPr>
          <w:rFonts w:ascii="Calibri"/>
          <w:sz w:val="22"/>
        </w:rPr>
        <w:t>of</w:t>
      </w:r>
      <w:r>
        <w:rPr>
          <w:rFonts w:ascii="Calibri"/>
          <w:spacing w:val="-6"/>
          <w:sz w:val="22"/>
        </w:rPr>
        <w:t> </w:t>
      </w:r>
      <w:r>
        <w:rPr>
          <w:rFonts w:ascii="Calibri"/>
          <w:sz w:val="22"/>
        </w:rPr>
        <w:t>character</w:t>
      </w:r>
      <w:r>
        <w:rPr>
          <w:rFonts w:ascii="Calibri"/>
          <w:spacing w:val="-5"/>
          <w:sz w:val="22"/>
        </w:rPr>
        <w:t> </w:t>
      </w:r>
      <w:r>
        <w:rPr>
          <w:rFonts w:ascii="Calibri"/>
          <w:sz w:val="22"/>
        </w:rPr>
        <w:t>that</w:t>
      </w:r>
      <w:r>
        <w:rPr>
          <w:rFonts w:ascii="Calibri"/>
          <w:spacing w:val="-5"/>
          <w:sz w:val="22"/>
        </w:rPr>
        <w:t> </w:t>
      </w:r>
      <w:r>
        <w:rPr>
          <w:rFonts w:ascii="Calibri"/>
          <w:sz w:val="22"/>
        </w:rPr>
        <w:t>schools</w:t>
      </w:r>
      <w:r>
        <w:rPr>
          <w:rFonts w:ascii="Calibri"/>
          <w:spacing w:val="-8"/>
          <w:sz w:val="22"/>
        </w:rPr>
        <w:t> </w:t>
      </w:r>
      <w:r>
        <w:rPr>
          <w:rFonts w:ascii="Calibri"/>
          <w:sz w:val="22"/>
        </w:rPr>
        <w:t>should</w:t>
      </w:r>
      <w:r>
        <w:rPr>
          <w:rFonts w:ascii="Calibri"/>
          <w:spacing w:val="-7"/>
          <w:sz w:val="22"/>
        </w:rPr>
        <w:t> </w:t>
      </w:r>
      <w:r>
        <w:rPr>
          <w:rFonts w:ascii="Calibri"/>
          <w:sz w:val="22"/>
        </w:rPr>
        <w:t>seek</w:t>
      </w:r>
      <w:r>
        <w:rPr>
          <w:rFonts w:ascii="Calibri"/>
          <w:spacing w:val="-4"/>
          <w:sz w:val="22"/>
        </w:rPr>
        <w:t> </w:t>
      </w:r>
      <w:r>
        <w:rPr>
          <w:rFonts w:ascii="Calibri"/>
          <w:sz w:val="22"/>
        </w:rPr>
        <w:t>to</w:t>
      </w:r>
      <w:r>
        <w:rPr>
          <w:rFonts w:ascii="Calibri"/>
          <w:spacing w:val="-4"/>
          <w:sz w:val="22"/>
        </w:rPr>
        <w:t> </w:t>
      </w:r>
      <w:r>
        <w:rPr>
          <w:rFonts w:ascii="Calibri"/>
          <w:sz w:val="22"/>
        </w:rPr>
        <w:t>develop</w:t>
      </w:r>
      <w:r>
        <w:rPr>
          <w:rFonts w:ascii="Calibri"/>
          <w:spacing w:val="-6"/>
          <w:sz w:val="22"/>
        </w:rPr>
        <w:t> </w:t>
      </w:r>
      <w:r>
        <w:rPr>
          <w:rFonts w:ascii="Calibri"/>
          <w:sz w:val="22"/>
        </w:rPr>
        <w:t>in</w:t>
      </w:r>
      <w:r>
        <w:rPr>
          <w:rFonts w:ascii="Calibri"/>
          <w:spacing w:val="-6"/>
          <w:sz w:val="22"/>
        </w:rPr>
        <w:t> </w:t>
      </w:r>
      <w:r>
        <w:rPr>
          <w:rFonts w:ascii="Calibri"/>
          <w:sz w:val="22"/>
        </w:rPr>
        <w:t>their</w:t>
      </w:r>
      <w:r>
        <w:rPr>
          <w:rFonts w:ascii="Calibri"/>
          <w:spacing w:val="-6"/>
          <w:sz w:val="22"/>
        </w:rPr>
        <w:t> </w:t>
      </w:r>
      <w:r>
        <w:rPr>
          <w:rFonts w:ascii="Calibri"/>
          <w:sz w:val="22"/>
        </w:rPr>
        <w:t>pupils,</w:t>
      </w:r>
      <w:r>
        <w:rPr>
          <w:rFonts w:ascii="Calibri"/>
          <w:spacing w:val="-5"/>
          <w:sz w:val="22"/>
        </w:rPr>
        <w:t> </w:t>
      </w:r>
      <w:r>
        <w:rPr>
          <w:rFonts w:ascii="Calibri"/>
          <w:sz w:val="22"/>
        </w:rPr>
        <w:t>through</w:t>
      </w:r>
      <w:r>
        <w:rPr>
          <w:rFonts w:ascii="Calibri"/>
          <w:spacing w:val="-6"/>
          <w:sz w:val="22"/>
        </w:rPr>
        <w:t> </w:t>
      </w:r>
      <w:r>
        <w:rPr>
          <w:rFonts w:ascii="Calibri"/>
          <w:sz w:val="22"/>
        </w:rPr>
        <w:t>their</w:t>
      </w:r>
      <w:r>
        <w:rPr>
          <w:rFonts w:ascii="Calibri"/>
          <w:spacing w:val="-5"/>
          <w:sz w:val="22"/>
        </w:rPr>
        <w:t> </w:t>
      </w:r>
      <w:r>
        <w:rPr>
          <w:rFonts w:ascii="Calibri"/>
          <w:sz w:val="22"/>
        </w:rPr>
        <w:t>exemplification</w:t>
      </w:r>
      <w:r>
        <w:rPr>
          <w:rFonts w:ascii="Calibri"/>
          <w:spacing w:val="-6"/>
          <w:sz w:val="22"/>
        </w:rPr>
        <w:t> </w:t>
      </w:r>
      <w:r>
        <w:rPr>
          <w:rFonts w:ascii="Calibri"/>
          <w:sz w:val="22"/>
        </w:rPr>
        <w:t>by</w:t>
      </w:r>
      <w:r>
        <w:rPr>
          <w:rFonts w:ascii="Calibri"/>
          <w:spacing w:val="-7"/>
          <w:sz w:val="22"/>
        </w:rPr>
        <w:t> </w:t>
      </w:r>
      <w:r>
        <w:rPr>
          <w:rFonts w:ascii="Calibri"/>
          <w:sz w:val="22"/>
        </w:rPr>
        <w:t>the whole community of which the pupils are a part. These virtues reflect our Christian tradition but they are also, of course, fundamental human virtues which are universally</w:t>
      </w:r>
      <w:r>
        <w:rPr>
          <w:rFonts w:ascii="Calibri"/>
          <w:spacing w:val="-1"/>
          <w:sz w:val="22"/>
        </w:rPr>
        <w:t> </w:t>
      </w:r>
      <w:r>
        <w:rPr>
          <w:rFonts w:ascii="Calibri"/>
          <w:sz w:val="22"/>
        </w:rPr>
        <w:t>shared.</w:t>
      </w:r>
    </w:p>
    <w:p>
      <w:pPr>
        <w:spacing w:after="0" w:line="240" w:lineRule="auto"/>
        <w:jc w:val="both"/>
        <w:rPr>
          <w:rFonts w:ascii="Calibri"/>
          <w:sz w:val="22"/>
        </w:rPr>
        <w:sectPr>
          <w:headerReference w:type="default" r:id="rId98"/>
          <w:footerReference w:type="default" r:id="rId99"/>
          <w:pgSz w:w="16840" w:h="11910" w:orient="landscape"/>
          <w:pgMar w:header="0" w:footer="746" w:top="1100" w:bottom="940" w:left="1000" w:right="1320"/>
          <w:pgNumType w:start="2"/>
        </w:sectPr>
      </w:pPr>
    </w:p>
    <w:p>
      <w:pPr>
        <w:spacing w:before="27"/>
        <w:ind w:left="440" w:right="0" w:firstLine="0"/>
        <w:jc w:val="left"/>
        <w:rPr>
          <w:rFonts w:ascii="Calibri Light"/>
          <w:b w:val="0"/>
          <w:sz w:val="32"/>
        </w:rPr>
      </w:pPr>
      <w:r>
        <w:rPr>
          <w:rFonts w:ascii="Calibri Light"/>
          <w:b w:val="0"/>
          <w:color w:val="1C3D94"/>
          <w:sz w:val="32"/>
        </w:rPr>
        <w:t>Theme 1: Created and Loved by God</w:t>
      </w:r>
    </w:p>
    <w:p>
      <w:pPr>
        <w:pStyle w:val="BodyText"/>
        <w:spacing w:before="3"/>
        <w:rPr>
          <w:rFonts w:ascii="Calibri Light"/>
          <w:b w:val="0"/>
          <w:sz w:val="10"/>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3"/>
        <w:gridCol w:w="6625"/>
        <w:gridCol w:w="6623"/>
      </w:tblGrid>
      <w:tr>
        <w:trPr>
          <w:trHeight w:val="263" w:hRule="atLeast"/>
        </w:trPr>
        <w:tc>
          <w:tcPr>
            <w:tcW w:w="1023" w:type="dxa"/>
            <w:tcBorders>
              <w:top w:val="nil"/>
              <w:left w:val="nil"/>
              <w:right w:val="nil"/>
            </w:tcBorders>
          </w:tcPr>
          <w:p>
            <w:pPr>
              <w:pStyle w:val="TableParagraph"/>
              <w:ind w:left="0"/>
              <w:rPr>
                <w:rFonts w:ascii="Times New Roman"/>
                <w:sz w:val="18"/>
              </w:rPr>
            </w:pPr>
          </w:p>
        </w:tc>
        <w:tc>
          <w:tcPr>
            <w:tcW w:w="6625" w:type="dxa"/>
            <w:tcBorders>
              <w:top w:val="nil"/>
              <w:left w:val="nil"/>
              <w:right w:val="nil"/>
            </w:tcBorders>
          </w:tcPr>
          <w:p>
            <w:pPr>
              <w:pStyle w:val="TableParagraph"/>
              <w:spacing w:line="244" w:lineRule="exact"/>
              <w:ind w:left="117"/>
              <w:rPr>
                <w:rFonts w:ascii="Calibri Light"/>
                <w:b w:val="0"/>
                <w:sz w:val="26"/>
              </w:rPr>
            </w:pPr>
            <w:r>
              <w:rPr>
                <w:rFonts w:ascii="Calibri Light"/>
                <w:b w:val="0"/>
                <w:color w:val="1C3D94"/>
                <w:sz w:val="26"/>
              </w:rPr>
              <w:t>EYFS &amp; KS1</w:t>
            </w:r>
          </w:p>
        </w:tc>
        <w:tc>
          <w:tcPr>
            <w:tcW w:w="6623" w:type="dxa"/>
            <w:tcBorders>
              <w:top w:val="nil"/>
              <w:left w:val="nil"/>
              <w:right w:val="nil"/>
            </w:tcBorders>
          </w:tcPr>
          <w:p>
            <w:pPr>
              <w:pStyle w:val="TableParagraph"/>
              <w:spacing w:line="244" w:lineRule="exact"/>
              <w:ind w:left="115"/>
              <w:rPr>
                <w:rFonts w:ascii="Calibri Light"/>
                <w:b w:val="0"/>
                <w:sz w:val="26"/>
              </w:rPr>
            </w:pPr>
            <w:r>
              <w:rPr>
                <w:rFonts w:ascii="Calibri Light"/>
                <w:b w:val="0"/>
                <w:color w:val="1C3D94"/>
                <w:sz w:val="26"/>
              </w:rPr>
              <w:t>KS2</w:t>
            </w:r>
          </w:p>
        </w:tc>
      </w:tr>
      <w:tr>
        <w:trPr>
          <w:trHeight w:val="2687" w:hRule="atLeast"/>
        </w:trPr>
        <w:tc>
          <w:tcPr>
            <w:tcW w:w="1023" w:type="dxa"/>
            <w:shd w:val="clear" w:color="auto" w:fill="FFCCCC"/>
            <w:textDirection w:val="btLr"/>
          </w:tcPr>
          <w:p>
            <w:pPr>
              <w:pStyle w:val="TableParagraph"/>
              <w:spacing w:before="8"/>
              <w:ind w:left="0"/>
              <w:rPr>
                <w:rFonts w:ascii="Calibri Light"/>
                <w:b w:val="0"/>
                <w:sz w:val="30"/>
              </w:rPr>
            </w:pPr>
          </w:p>
          <w:p>
            <w:pPr>
              <w:pStyle w:val="TableParagraph"/>
              <w:ind w:left="887"/>
              <w:rPr>
                <w:rFonts w:ascii="Calibri"/>
                <w:sz w:val="22"/>
              </w:rPr>
            </w:pPr>
            <w:r>
              <w:rPr>
                <w:rFonts w:ascii="Calibri"/>
                <w:sz w:val="22"/>
              </w:rPr>
              <w:t>Education in virtue</w:t>
            </w:r>
          </w:p>
        </w:tc>
        <w:tc>
          <w:tcPr>
            <w:tcW w:w="6625" w:type="dxa"/>
          </w:tcPr>
          <w:p>
            <w:pPr>
              <w:pStyle w:val="TableParagraph"/>
              <w:spacing w:line="267" w:lineRule="exact"/>
              <w:ind w:left="107"/>
              <w:rPr>
                <w:rFonts w:ascii="Calibri"/>
                <w:b/>
                <w:sz w:val="22"/>
              </w:rPr>
            </w:pPr>
            <w:r>
              <w:rPr>
                <w:rFonts w:ascii="Calibri"/>
                <w:b/>
                <w:sz w:val="22"/>
              </w:rPr>
              <w:t>In a Catholic school, pupils are growing to be:</w:t>
            </w:r>
          </w:p>
          <w:p>
            <w:pPr>
              <w:pStyle w:val="TableParagraph"/>
              <w:numPr>
                <w:ilvl w:val="3"/>
                <w:numId w:val="56"/>
              </w:numPr>
              <w:tabs>
                <w:tab w:pos="960" w:val="left" w:leader="none"/>
              </w:tabs>
              <w:spacing w:line="240" w:lineRule="auto" w:before="0" w:after="0"/>
              <w:ind w:left="960" w:right="0" w:hanging="853"/>
              <w:jc w:val="left"/>
              <w:rPr>
                <w:rFonts w:ascii="Calibri"/>
                <w:sz w:val="22"/>
              </w:rPr>
            </w:pPr>
            <w:r>
              <w:rPr>
                <w:rFonts w:ascii="Calibri"/>
                <w:sz w:val="22"/>
              </w:rPr>
              <w:t>Respectful of their own bodies and</w:t>
            </w:r>
            <w:r>
              <w:rPr>
                <w:rFonts w:ascii="Calibri"/>
                <w:spacing w:val="-10"/>
                <w:sz w:val="22"/>
              </w:rPr>
              <w:t> </w:t>
            </w:r>
            <w:r>
              <w:rPr>
                <w:rFonts w:ascii="Calibri"/>
                <w:sz w:val="22"/>
              </w:rPr>
              <w:t>character</w:t>
            </w:r>
          </w:p>
          <w:p>
            <w:pPr>
              <w:pStyle w:val="TableParagraph"/>
              <w:numPr>
                <w:ilvl w:val="3"/>
                <w:numId w:val="56"/>
              </w:numPr>
              <w:tabs>
                <w:tab w:pos="960" w:val="left" w:leader="none"/>
              </w:tabs>
              <w:spacing w:line="267" w:lineRule="exact" w:before="0" w:after="0"/>
              <w:ind w:left="960" w:right="0" w:hanging="853"/>
              <w:jc w:val="left"/>
              <w:rPr>
                <w:rFonts w:ascii="Calibri"/>
                <w:sz w:val="22"/>
              </w:rPr>
            </w:pPr>
            <w:r>
              <w:rPr>
                <w:rFonts w:ascii="Calibri"/>
                <w:sz w:val="22"/>
              </w:rPr>
              <w:t>Appreciative for blessings</w:t>
            </w:r>
          </w:p>
          <w:p>
            <w:pPr>
              <w:pStyle w:val="TableParagraph"/>
              <w:numPr>
                <w:ilvl w:val="3"/>
                <w:numId w:val="56"/>
              </w:numPr>
              <w:tabs>
                <w:tab w:pos="960" w:val="left" w:leader="none"/>
              </w:tabs>
              <w:spacing w:line="267" w:lineRule="exact" w:before="0" w:after="0"/>
              <w:ind w:left="960" w:right="0" w:hanging="853"/>
              <w:jc w:val="left"/>
              <w:rPr>
                <w:rFonts w:ascii="Calibri"/>
                <w:sz w:val="22"/>
              </w:rPr>
            </w:pPr>
            <w:r>
              <w:rPr>
                <w:rFonts w:ascii="Calibri"/>
                <w:sz w:val="22"/>
              </w:rPr>
              <w:t>Grateful to others and to</w:t>
            </w:r>
            <w:r>
              <w:rPr>
                <w:rFonts w:ascii="Calibri"/>
                <w:spacing w:val="-3"/>
                <w:sz w:val="22"/>
              </w:rPr>
              <w:t> </w:t>
            </w:r>
            <w:r>
              <w:rPr>
                <w:rFonts w:ascii="Calibri"/>
                <w:sz w:val="22"/>
              </w:rPr>
              <w:t>God</w:t>
            </w:r>
          </w:p>
          <w:p>
            <w:pPr>
              <w:pStyle w:val="TableParagraph"/>
              <w:numPr>
                <w:ilvl w:val="3"/>
                <w:numId w:val="56"/>
              </w:numPr>
              <w:tabs>
                <w:tab w:pos="960" w:val="left" w:leader="none"/>
              </w:tabs>
              <w:spacing w:line="240" w:lineRule="auto" w:before="0" w:after="0"/>
              <w:ind w:left="960" w:right="0" w:hanging="853"/>
              <w:jc w:val="left"/>
              <w:rPr>
                <w:rFonts w:ascii="Calibri"/>
                <w:sz w:val="22"/>
              </w:rPr>
            </w:pPr>
            <w:r>
              <w:rPr>
                <w:rFonts w:ascii="Calibri"/>
                <w:sz w:val="22"/>
              </w:rPr>
              <w:t>Patient when they do not always get what they</w:t>
            </w:r>
            <w:r>
              <w:rPr>
                <w:rFonts w:ascii="Calibri"/>
                <w:spacing w:val="-13"/>
                <w:sz w:val="22"/>
              </w:rPr>
              <w:t> </w:t>
            </w:r>
            <w:r>
              <w:rPr>
                <w:rFonts w:ascii="Calibri"/>
                <w:sz w:val="22"/>
              </w:rPr>
              <w:t>want</w:t>
            </w:r>
          </w:p>
        </w:tc>
        <w:tc>
          <w:tcPr>
            <w:tcW w:w="6623" w:type="dxa"/>
          </w:tcPr>
          <w:p>
            <w:pPr>
              <w:pStyle w:val="TableParagraph"/>
              <w:spacing w:line="267" w:lineRule="exact"/>
              <w:ind w:left="105"/>
              <w:rPr>
                <w:rFonts w:ascii="Calibri"/>
                <w:b/>
                <w:sz w:val="22"/>
              </w:rPr>
            </w:pPr>
            <w:r>
              <w:rPr>
                <w:rFonts w:ascii="Calibri"/>
                <w:b/>
                <w:sz w:val="22"/>
              </w:rPr>
              <w:t>In a Catholic school, pupils are growing to be:</w:t>
            </w:r>
          </w:p>
          <w:p>
            <w:pPr>
              <w:pStyle w:val="TableParagraph"/>
              <w:numPr>
                <w:ilvl w:val="3"/>
                <w:numId w:val="57"/>
              </w:numPr>
              <w:tabs>
                <w:tab w:pos="958" w:val="left" w:leader="none"/>
              </w:tabs>
              <w:spacing w:line="240" w:lineRule="auto" w:before="0" w:after="0"/>
              <w:ind w:left="957" w:right="0" w:hanging="853"/>
              <w:jc w:val="left"/>
              <w:rPr>
                <w:rFonts w:ascii="Calibri"/>
                <w:sz w:val="22"/>
              </w:rPr>
            </w:pPr>
            <w:r>
              <w:rPr>
                <w:rFonts w:ascii="Calibri"/>
                <w:sz w:val="22"/>
              </w:rPr>
              <w:t>Respectful of their own bodies, character and</w:t>
            </w:r>
            <w:r>
              <w:rPr>
                <w:rFonts w:ascii="Calibri"/>
                <w:spacing w:val="-10"/>
                <w:sz w:val="22"/>
              </w:rPr>
              <w:t> </w:t>
            </w:r>
            <w:r>
              <w:rPr>
                <w:rFonts w:ascii="Calibri"/>
                <w:sz w:val="22"/>
              </w:rPr>
              <w:t>giftedness</w:t>
            </w:r>
          </w:p>
          <w:p>
            <w:pPr>
              <w:pStyle w:val="TableParagraph"/>
              <w:numPr>
                <w:ilvl w:val="3"/>
                <w:numId w:val="57"/>
              </w:numPr>
              <w:tabs>
                <w:tab w:pos="958" w:val="left" w:leader="none"/>
              </w:tabs>
              <w:spacing w:line="267" w:lineRule="exact" w:before="0" w:after="0"/>
              <w:ind w:left="957" w:right="0" w:hanging="853"/>
              <w:jc w:val="left"/>
              <w:rPr>
                <w:rFonts w:ascii="Calibri"/>
                <w:sz w:val="22"/>
              </w:rPr>
            </w:pPr>
            <w:r>
              <w:rPr>
                <w:rFonts w:ascii="Calibri"/>
                <w:sz w:val="22"/>
              </w:rPr>
              <w:t>Appreciative for blessings</w:t>
            </w:r>
          </w:p>
          <w:p>
            <w:pPr>
              <w:pStyle w:val="TableParagraph"/>
              <w:numPr>
                <w:ilvl w:val="3"/>
                <w:numId w:val="57"/>
              </w:numPr>
              <w:tabs>
                <w:tab w:pos="958" w:val="left" w:leader="none"/>
              </w:tabs>
              <w:spacing w:line="267" w:lineRule="exact" w:before="0" w:after="0"/>
              <w:ind w:left="957" w:right="0" w:hanging="853"/>
              <w:jc w:val="left"/>
              <w:rPr>
                <w:rFonts w:ascii="Calibri"/>
                <w:sz w:val="22"/>
              </w:rPr>
            </w:pPr>
            <w:r>
              <w:rPr>
                <w:rFonts w:ascii="Calibri"/>
                <w:sz w:val="22"/>
              </w:rPr>
              <w:t>Grateful to others and to</w:t>
            </w:r>
            <w:r>
              <w:rPr>
                <w:rFonts w:ascii="Calibri"/>
                <w:spacing w:val="-3"/>
                <w:sz w:val="22"/>
              </w:rPr>
              <w:t> </w:t>
            </w:r>
            <w:r>
              <w:rPr>
                <w:rFonts w:ascii="Calibri"/>
                <w:sz w:val="22"/>
              </w:rPr>
              <w:t>God</w:t>
            </w:r>
          </w:p>
          <w:p>
            <w:pPr>
              <w:pStyle w:val="TableParagraph"/>
              <w:numPr>
                <w:ilvl w:val="3"/>
                <w:numId w:val="57"/>
              </w:numPr>
              <w:tabs>
                <w:tab w:pos="958" w:val="left" w:leader="none"/>
              </w:tabs>
              <w:spacing w:line="240" w:lineRule="auto" w:before="0" w:after="0"/>
              <w:ind w:left="957" w:right="382" w:hanging="852"/>
              <w:jc w:val="left"/>
              <w:rPr>
                <w:rFonts w:ascii="Calibri"/>
                <w:sz w:val="22"/>
              </w:rPr>
            </w:pPr>
            <w:r>
              <w:rPr>
                <w:rFonts w:ascii="Calibri"/>
                <w:sz w:val="22"/>
              </w:rPr>
              <w:t>Self-disciplined and able to delay or forego gratification for the sake of greater</w:t>
            </w:r>
            <w:r>
              <w:rPr>
                <w:rFonts w:ascii="Calibri"/>
                <w:spacing w:val="-3"/>
                <w:sz w:val="22"/>
              </w:rPr>
              <w:t> </w:t>
            </w:r>
            <w:r>
              <w:rPr>
                <w:rFonts w:ascii="Calibri"/>
                <w:sz w:val="22"/>
              </w:rPr>
              <w:t>goods</w:t>
            </w:r>
          </w:p>
          <w:p>
            <w:pPr>
              <w:pStyle w:val="TableParagraph"/>
              <w:numPr>
                <w:ilvl w:val="3"/>
                <w:numId w:val="57"/>
              </w:numPr>
              <w:tabs>
                <w:tab w:pos="958" w:val="left" w:leader="none"/>
              </w:tabs>
              <w:spacing w:line="240" w:lineRule="auto" w:before="2" w:after="0"/>
              <w:ind w:left="957" w:right="0" w:hanging="853"/>
              <w:jc w:val="left"/>
              <w:rPr>
                <w:rFonts w:ascii="Calibri"/>
                <w:sz w:val="22"/>
              </w:rPr>
            </w:pPr>
            <w:r>
              <w:rPr>
                <w:rFonts w:ascii="Calibri"/>
                <w:sz w:val="22"/>
              </w:rPr>
              <w:t>Discerning in their decision</w:t>
            </w:r>
            <w:r>
              <w:rPr>
                <w:rFonts w:ascii="Calibri"/>
                <w:spacing w:val="-6"/>
                <w:sz w:val="22"/>
              </w:rPr>
              <w:t> </w:t>
            </w:r>
            <w:r>
              <w:rPr>
                <w:rFonts w:ascii="Calibri"/>
                <w:sz w:val="22"/>
              </w:rPr>
              <w:t>making</w:t>
            </w:r>
          </w:p>
          <w:p>
            <w:pPr>
              <w:pStyle w:val="TableParagraph"/>
              <w:numPr>
                <w:ilvl w:val="3"/>
                <w:numId w:val="57"/>
              </w:numPr>
              <w:tabs>
                <w:tab w:pos="958" w:val="left" w:leader="none"/>
              </w:tabs>
              <w:spacing w:line="240" w:lineRule="auto" w:before="0" w:after="0"/>
              <w:ind w:left="957" w:right="0" w:hanging="853"/>
              <w:jc w:val="left"/>
              <w:rPr>
                <w:rFonts w:ascii="Calibri"/>
                <w:sz w:val="22"/>
              </w:rPr>
            </w:pPr>
            <w:r>
              <w:rPr>
                <w:rFonts w:ascii="Calibri"/>
                <w:sz w:val="22"/>
              </w:rPr>
              <w:t>Determined and resilient in the face of</w:t>
            </w:r>
            <w:r>
              <w:rPr>
                <w:rFonts w:ascii="Calibri"/>
                <w:spacing w:val="-8"/>
                <w:sz w:val="22"/>
              </w:rPr>
              <w:t> </w:t>
            </w:r>
            <w:r>
              <w:rPr>
                <w:rFonts w:ascii="Calibri"/>
                <w:sz w:val="22"/>
              </w:rPr>
              <w:t>difficulty</w:t>
            </w:r>
          </w:p>
          <w:p>
            <w:pPr>
              <w:pStyle w:val="TableParagraph"/>
              <w:numPr>
                <w:ilvl w:val="3"/>
                <w:numId w:val="57"/>
              </w:numPr>
              <w:tabs>
                <w:tab w:pos="958" w:val="left" w:leader="none"/>
              </w:tabs>
              <w:spacing w:line="270" w:lineRule="atLeast" w:before="0" w:after="0"/>
              <w:ind w:left="957" w:right="341" w:hanging="852"/>
              <w:jc w:val="left"/>
              <w:rPr>
                <w:rFonts w:ascii="Calibri"/>
                <w:sz w:val="22"/>
              </w:rPr>
            </w:pPr>
            <w:r>
              <w:rPr>
                <w:rFonts w:ascii="Calibri"/>
                <w:sz w:val="22"/>
              </w:rPr>
              <w:t>Courageous in the face of new situations and in facing their fears</w:t>
            </w:r>
          </w:p>
        </w:tc>
      </w:tr>
      <w:tr>
        <w:trPr>
          <w:trHeight w:val="2687" w:hRule="atLeast"/>
        </w:trPr>
        <w:tc>
          <w:tcPr>
            <w:tcW w:w="1023" w:type="dxa"/>
            <w:tcBorders>
              <w:left w:val="single" w:sz="4" w:space="0" w:color="000000"/>
              <w:bottom w:val="single" w:sz="4" w:space="0" w:color="000000"/>
              <w:right w:val="single" w:sz="4" w:space="0" w:color="000000"/>
            </w:tcBorders>
            <w:shd w:val="clear" w:color="auto" w:fill="BBFFDA"/>
            <w:textDirection w:val="btLr"/>
          </w:tcPr>
          <w:p>
            <w:pPr>
              <w:pStyle w:val="TableParagraph"/>
              <w:spacing w:line="244" w:lineRule="auto" w:before="115"/>
              <w:ind w:left="280" w:right="110" w:hanging="94"/>
              <w:jc w:val="right"/>
              <w:rPr>
                <w:rFonts w:ascii="Calibri"/>
                <w:sz w:val="22"/>
              </w:rPr>
            </w:pPr>
            <w:r>
              <w:rPr>
                <w:rFonts w:ascii="Calibri"/>
                <w:sz w:val="22"/>
              </w:rPr>
              <w:t>Religious</w:t>
            </w:r>
            <w:r>
              <w:rPr>
                <w:rFonts w:ascii="Calibri"/>
                <w:spacing w:val="-2"/>
                <w:sz w:val="22"/>
              </w:rPr>
              <w:t> </w:t>
            </w:r>
            <w:r>
              <w:rPr>
                <w:rFonts w:ascii="Calibri"/>
                <w:sz w:val="22"/>
              </w:rPr>
              <w:t>understanding</w:t>
            </w:r>
            <w:r>
              <w:rPr>
                <w:rFonts w:ascii="Calibri"/>
                <w:spacing w:val="-2"/>
                <w:sz w:val="22"/>
              </w:rPr>
              <w:t> </w:t>
            </w:r>
            <w:r>
              <w:rPr>
                <w:rFonts w:ascii="Calibri"/>
                <w:sz w:val="22"/>
              </w:rPr>
              <w:t>of</w:t>
            </w:r>
            <w:r>
              <w:rPr>
                <w:rFonts w:ascii="Calibri"/>
                <w:w w:val="100"/>
                <w:sz w:val="22"/>
              </w:rPr>
              <w:t> </w:t>
            </w:r>
            <w:r>
              <w:rPr>
                <w:rFonts w:ascii="Calibri"/>
                <w:sz w:val="22"/>
              </w:rPr>
              <w:t>the human person:</w:t>
            </w:r>
            <w:r>
              <w:rPr>
                <w:rFonts w:ascii="Calibri"/>
                <w:spacing w:val="-5"/>
                <w:sz w:val="22"/>
              </w:rPr>
              <w:t> </w:t>
            </w:r>
            <w:r>
              <w:rPr>
                <w:rFonts w:ascii="Calibri"/>
                <w:sz w:val="22"/>
              </w:rPr>
              <w:t>loving</w:t>
            </w:r>
          </w:p>
          <w:p>
            <w:pPr>
              <w:pStyle w:val="TableParagraph"/>
              <w:spacing w:before="2"/>
              <w:ind w:left="0" w:right="108"/>
              <w:jc w:val="right"/>
              <w:rPr>
                <w:rFonts w:ascii="Calibri"/>
                <w:sz w:val="22"/>
              </w:rPr>
            </w:pPr>
            <w:r>
              <w:rPr>
                <w:rFonts w:ascii="Calibri"/>
                <w:spacing w:val="-1"/>
                <w:sz w:val="22"/>
              </w:rPr>
              <w:t>myself</w:t>
            </w:r>
          </w:p>
        </w:tc>
        <w:tc>
          <w:tcPr>
            <w:tcW w:w="6625" w:type="dxa"/>
            <w:tcBorders>
              <w:left w:val="single" w:sz="4" w:space="0" w:color="000000"/>
              <w:bottom w:val="single" w:sz="4" w:space="0" w:color="000000"/>
              <w:right w:val="single" w:sz="4" w:space="0" w:color="000000"/>
            </w:tcBorders>
          </w:tcPr>
          <w:p>
            <w:pPr>
              <w:pStyle w:val="TableParagraph"/>
              <w:spacing w:line="265" w:lineRule="exact"/>
              <w:ind w:left="117"/>
              <w:rPr>
                <w:rFonts w:ascii="Calibri"/>
                <w:b/>
                <w:sz w:val="22"/>
              </w:rPr>
            </w:pPr>
            <w:r>
              <w:rPr>
                <w:rFonts w:ascii="Calibri"/>
                <w:b/>
                <w:sz w:val="22"/>
              </w:rPr>
              <w:t>Pupils should be taught:</w:t>
            </w:r>
          </w:p>
          <w:p>
            <w:pPr>
              <w:pStyle w:val="TableParagraph"/>
              <w:numPr>
                <w:ilvl w:val="3"/>
                <w:numId w:val="58"/>
              </w:numPr>
              <w:tabs>
                <w:tab w:pos="965" w:val="left" w:leader="none"/>
              </w:tabs>
              <w:spacing w:line="240" w:lineRule="auto" w:before="0" w:after="0"/>
              <w:ind w:left="965" w:right="0" w:hanging="853"/>
              <w:jc w:val="left"/>
              <w:rPr>
                <w:rFonts w:ascii="Calibri"/>
                <w:sz w:val="22"/>
              </w:rPr>
            </w:pPr>
            <w:r>
              <w:rPr>
                <w:rFonts w:ascii="Calibri"/>
                <w:sz w:val="22"/>
              </w:rPr>
              <w:t>We are made by God and are</w:t>
            </w:r>
            <w:r>
              <w:rPr>
                <w:rFonts w:ascii="Calibri"/>
                <w:spacing w:val="-2"/>
                <w:sz w:val="22"/>
              </w:rPr>
              <w:t> </w:t>
            </w:r>
            <w:r>
              <w:rPr>
                <w:rFonts w:ascii="Calibri"/>
                <w:sz w:val="22"/>
              </w:rPr>
              <w:t>special</w:t>
            </w:r>
          </w:p>
          <w:p>
            <w:pPr>
              <w:pStyle w:val="TableParagraph"/>
              <w:numPr>
                <w:ilvl w:val="3"/>
                <w:numId w:val="58"/>
              </w:numPr>
              <w:tabs>
                <w:tab w:pos="965" w:val="left" w:leader="none"/>
              </w:tabs>
              <w:spacing w:line="240" w:lineRule="auto" w:before="0" w:after="0"/>
              <w:ind w:left="965" w:right="0" w:hanging="853"/>
              <w:jc w:val="left"/>
              <w:rPr>
                <w:rFonts w:ascii="Calibri"/>
                <w:sz w:val="22"/>
              </w:rPr>
            </w:pPr>
            <w:r>
              <w:rPr>
                <w:rFonts w:ascii="Calibri"/>
                <w:sz w:val="22"/>
              </w:rPr>
              <w:t>We are all God's children</w:t>
            </w:r>
          </w:p>
          <w:p>
            <w:pPr>
              <w:pStyle w:val="TableParagraph"/>
              <w:numPr>
                <w:ilvl w:val="3"/>
                <w:numId w:val="58"/>
              </w:numPr>
              <w:tabs>
                <w:tab w:pos="965" w:val="left" w:leader="none"/>
              </w:tabs>
              <w:spacing w:line="240" w:lineRule="auto" w:before="1" w:after="0"/>
              <w:ind w:left="965" w:right="0" w:hanging="853"/>
              <w:jc w:val="left"/>
              <w:rPr>
                <w:rFonts w:ascii="Calibri"/>
                <w:sz w:val="22"/>
              </w:rPr>
            </w:pPr>
            <w:r>
              <w:rPr>
                <w:rFonts w:ascii="Calibri"/>
                <w:sz w:val="22"/>
              </w:rPr>
              <w:t>Ways of expressing gratitude to</w:t>
            </w:r>
            <w:r>
              <w:rPr>
                <w:rFonts w:ascii="Calibri"/>
                <w:spacing w:val="-5"/>
                <w:sz w:val="22"/>
              </w:rPr>
              <w:t> </w:t>
            </w:r>
            <w:r>
              <w:rPr>
                <w:rFonts w:ascii="Calibri"/>
                <w:sz w:val="22"/>
              </w:rPr>
              <w:t>God</w:t>
            </w:r>
          </w:p>
          <w:p>
            <w:pPr>
              <w:pStyle w:val="TableParagraph"/>
              <w:numPr>
                <w:ilvl w:val="3"/>
                <w:numId w:val="58"/>
              </w:numPr>
              <w:tabs>
                <w:tab w:pos="965" w:val="left" w:leader="none"/>
              </w:tabs>
              <w:spacing w:line="240" w:lineRule="auto" w:before="0" w:after="0"/>
              <w:ind w:left="965" w:right="0" w:hanging="853"/>
              <w:jc w:val="left"/>
              <w:rPr>
                <w:rFonts w:ascii="Calibri"/>
                <w:sz w:val="22"/>
              </w:rPr>
            </w:pPr>
            <w:r>
              <w:rPr>
                <w:rFonts w:ascii="Calibri"/>
                <w:sz w:val="22"/>
              </w:rPr>
              <w:t>About the sacrament of</w:t>
            </w:r>
            <w:r>
              <w:rPr>
                <w:rFonts w:ascii="Calibri"/>
                <w:spacing w:val="-5"/>
                <w:sz w:val="22"/>
              </w:rPr>
              <w:t> </w:t>
            </w:r>
            <w:r>
              <w:rPr>
                <w:rFonts w:ascii="Calibri"/>
                <w:sz w:val="22"/>
              </w:rPr>
              <w:t>Baptism</w:t>
            </w:r>
          </w:p>
        </w:tc>
        <w:tc>
          <w:tcPr>
            <w:tcW w:w="6623" w:type="dxa"/>
            <w:tcBorders>
              <w:left w:val="single" w:sz="4" w:space="0" w:color="000000"/>
              <w:bottom w:val="single" w:sz="4" w:space="0" w:color="000000"/>
              <w:right w:val="single" w:sz="4" w:space="0" w:color="000000"/>
            </w:tcBorders>
          </w:tcPr>
          <w:p>
            <w:pPr>
              <w:pStyle w:val="TableParagraph"/>
              <w:spacing w:line="265" w:lineRule="exact"/>
              <w:ind w:left="110"/>
              <w:rPr>
                <w:rFonts w:ascii="Calibri"/>
                <w:b/>
                <w:sz w:val="22"/>
              </w:rPr>
            </w:pPr>
            <w:r>
              <w:rPr>
                <w:rFonts w:ascii="Calibri"/>
                <w:b/>
                <w:sz w:val="22"/>
              </w:rPr>
              <w:t>Pupils should be</w:t>
            </w:r>
            <w:r>
              <w:rPr>
                <w:rFonts w:ascii="Calibri"/>
                <w:b/>
                <w:spacing w:val="-8"/>
                <w:sz w:val="22"/>
              </w:rPr>
              <w:t> </w:t>
            </w:r>
            <w:r>
              <w:rPr>
                <w:rFonts w:ascii="Calibri"/>
                <w:b/>
                <w:sz w:val="22"/>
              </w:rPr>
              <w:t>taught:</w:t>
            </w:r>
          </w:p>
          <w:p>
            <w:pPr>
              <w:pStyle w:val="TableParagraph"/>
              <w:numPr>
                <w:ilvl w:val="3"/>
                <w:numId w:val="59"/>
              </w:numPr>
              <w:tabs>
                <w:tab w:pos="963" w:val="left" w:leader="none"/>
              </w:tabs>
              <w:spacing w:line="240" w:lineRule="auto" w:before="0" w:after="0"/>
              <w:ind w:left="962" w:right="0" w:hanging="853"/>
              <w:jc w:val="left"/>
              <w:rPr>
                <w:rFonts w:ascii="Calibri"/>
                <w:sz w:val="22"/>
              </w:rPr>
            </w:pPr>
            <w:r>
              <w:rPr>
                <w:rFonts w:ascii="Calibri"/>
                <w:sz w:val="22"/>
              </w:rPr>
              <w:t>We are special people made in the image and likeness of</w:t>
            </w:r>
            <w:r>
              <w:rPr>
                <w:rFonts w:ascii="Calibri"/>
                <w:spacing w:val="-13"/>
                <w:sz w:val="22"/>
              </w:rPr>
              <w:t> </w:t>
            </w:r>
            <w:r>
              <w:rPr>
                <w:rFonts w:ascii="Calibri"/>
                <w:sz w:val="22"/>
              </w:rPr>
              <w:t>God</w:t>
            </w:r>
          </w:p>
          <w:p>
            <w:pPr>
              <w:pStyle w:val="TableParagraph"/>
              <w:numPr>
                <w:ilvl w:val="3"/>
                <w:numId w:val="59"/>
              </w:numPr>
              <w:tabs>
                <w:tab w:pos="963" w:val="left" w:leader="none"/>
              </w:tabs>
              <w:spacing w:line="240" w:lineRule="auto" w:before="0" w:after="0"/>
              <w:ind w:left="962" w:right="0" w:hanging="853"/>
              <w:jc w:val="left"/>
              <w:rPr>
                <w:rFonts w:ascii="Calibri"/>
                <w:sz w:val="22"/>
              </w:rPr>
            </w:pPr>
            <w:r>
              <w:rPr>
                <w:rFonts w:ascii="Calibri"/>
                <w:sz w:val="22"/>
              </w:rPr>
              <w:t>We are children of God with an innate</w:t>
            </w:r>
            <w:r>
              <w:rPr>
                <w:rFonts w:ascii="Calibri"/>
                <w:spacing w:val="-7"/>
                <w:sz w:val="22"/>
              </w:rPr>
              <w:t> </w:t>
            </w:r>
            <w:r>
              <w:rPr>
                <w:rFonts w:ascii="Calibri"/>
                <w:sz w:val="22"/>
              </w:rPr>
              <w:t>dignity</w:t>
            </w:r>
          </w:p>
          <w:p>
            <w:pPr>
              <w:pStyle w:val="TableParagraph"/>
              <w:numPr>
                <w:ilvl w:val="3"/>
                <w:numId w:val="59"/>
              </w:numPr>
              <w:tabs>
                <w:tab w:pos="963" w:val="left" w:leader="none"/>
              </w:tabs>
              <w:spacing w:line="240" w:lineRule="auto" w:before="1" w:after="0"/>
              <w:ind w:left="962" w:right="0" w:hanging="853"/>
              <w:jc w:val="left"/>
              <w:rPr>
                <w:rFonts w:ascii="Calibri"/>
                <w:sz w:val="22"/>
              </w:rPr>
            </w:pPr>
            <w:r>
              <w:rPr>
                <w:rFonts w:ascii="Calibri"/>
                <w:sz w:val="22"/>
              </w:rPr>
              <w:t>God has created us for a purpose</w:t>
            </w:r>
            <w:r>
              <w:rPr>
                <w:rFonts w:ascii="Calibri"/>
                <w:spacing w:val="-4"/>
                <w:sz w:val="22"/>
              </w:rPr>
              <w:t> </w:t>
            </w:r>
            <w:r>
              <w:rPr>
                <w:rFonts w:ascii="Calibri"/>
                <w:sz w:val="22"/>
              </w:rPr>
              <w:t>(vocation)</w:t>
            </w:r>
          </w:p>
          <w:p>
            <w:pPr>
              <w:pStyle w:val="TableParagraph"/>
              <w:numPr>
                <w:ilvl w:val="3"/>
                <w:numId w:val="59"/>
              </w:numPr>
              <w:tabs>
                <w:tab w:pos="963" w:val="left" w:leader="none"/>
              </w:tabs>
              <w:spacing w:line="240" w:lineRule="auto" w:before="0" w:after="0"/>
              <w:ind w:left="962" w:right="0" w:hanging="853"/>
              <w:jc w:val="left"/>
              <w:rPr>
                <w:rFonts w:ascii="Calibri" w:hAnsi="Calibri"/>
                <w:sz w:val="22"/>
              </w:rPr>
            </w:pPr>
            <w:r>
              <w:rPr>
                <w:rFonts w:ascii="Calibri" w:hAnsi="Calibri"/>
                <w:sz w:val="22"/>
              </w:rPr>
              <w:t>Life is precious and their body is God’s gift to</w:t>
            </w:r>
            <w:r>
              <w:rPr>
                <w:rFonts w:ascii="Calibri" w:hAnsi="Calibri"/>
                <w:spacing w:val="-10"/>
                <w:sz w:val="22"/>
              </w:rPr>
              <w:t> </w:t>
            </w:r>
            <w:r>
              <w:rPr>
                <w:rFonts w:ascii="Calibri" w:hAnsi="Calibri"/>
                <w:sz w:val="22"/>
              </w:rPr>
              <w:t>them</w:t>
            </w:r>
          </w:p>
          <w:p>
            <w:pPr>
              <w:pStyle w:val="TableParagraph"/>
              <w:numPr>
                <w:ilvl w:val="3"/>
                <w:numId w:val="59"/>
              </w:numPr>
              <w:tabs>
                <w:tab w:pos="963" w:val="left" w:leader="none"/>
              </w:tabs>
              <w:spacing w:line="240" w:lineRule="auto" w:before="0" w:after="0"/>
              <w:ind w:left="962" w:right="254" w:hanging="852"/>
              <w:jc w:val="left"/>
              <w:rPr>
                <w:rFonts w:ascii="Calibri"/>
                <w:sz w:val="22"/>
              </w:rPr>
            </w:pPr>
            <w:r>
              <w:rPr>
                <w:rFonts w:ascii="Calibri"/>
                <w:sz w:val="22"/>
              </w:rPr>
              <w:t>Prayer and worship are ways of nourishing their relationship with God</w:t>
            </w:r>
          </w:p>
          <w:p>
            <w:pPr>
              <w:pStyle w:val="TableParagraph"/>
              <w:numPr>
                <w:ilvl w:val="3"/>
                <w:numId w:val="59"/>
              </w:numPr>
              <w:tabs>
                <w:tab w:pos="963" w:val="left" w:leader="none"/>
              </w:tabs>
              <w:spacing w:line="240" w:lineRule="auto" w:before="0" w:after="0"/>
              <w:ind w:left="962" w:right="91" w:hanging="852"/>
              <w:jc w:val="left"/>
              <w:rPr>
                <w:rFonts w:ascii="Calibri"/>
                <w:sz w:val="22"/>
              </w:rPr>
            </w:pPr>
            <w:r>
              <w:rPr>
                <w:rFonts w:ascii="Calibri"/>
                <w:sz w:val="22"/>
              </w:rPr>
              <w:t>Sacraments often coincide with different natural stages in life, for example Baptism often occurs near birth for</w:t>
            </w:r>
            <w:r>
              <w:rPr>
                <w:rFonts w:ascii="Calibri"/>
                <w:spacing w:val="-9"/>
                <w:sz w:val="22"/>
              </w:rPr>
              <w:t> </w:t>
            </w:r>
            <w:r>
              <w:rPr>
                <w:rFonts w:ascii="Calibri"/>
                <w:sz w:val="22"/>
              </w:rPr>
              <w:t>Catholics.</w:t>
            </w:r>
          </w:p>
        </w:tc>
      </w:tr>
    </w:tbl>
    <w:p>
      <w:pPr>
        <w:spacing w:after="0" w:line="240" w:lineRule="auto"/>
        <w:jc w:val="left"/>
        <w:rPr>
          <w:rFonts w:ascii="Calibri"/>
          <w:sz w:val="22"/>
        </w:rPr>
        <w:sectPr>
          <w:headerReference w:type="default" r:id="rId100"/>
          <w:footerReference w:type="default" r:id="rId101"/>
          <w:pgSz w:w="16840" w:h="11910" w:orient="landscape"/>
          <w:pgMar w:header="0" w:footer="746" w:top="1100" w:bottom="940" w:left="1000" w:right="1320"/>
          <w:pgNumType w:start="3"/>
        </w:sectPr>
      </w:pPr>
    </w:p>
    <w:p>
      <w:pPr>
        <w:pStyle w:val="BodyText"/>
        <w:spacing w:before="10"/>
        <w:rPr>
          <w:rFonts w:ascii="Calibri Light"/>
          <w:b w:val="0"/>
          <w:sz w:val="9"/>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3"/>
        <w:gridCol w:w="6625"/>
        <w:gridCol w:w="6623"/>
      </w:tblGrid>
      <w:tr>
        <w:trPr>
          <w:trHeight w:val="265" w:hRule="atLeast"/>
        </w:trPr>
        <w:tc>
          <w:tcPr>
            <w:tcW w:w="1023" w:type="dxa"/>
            <w:tcBorders>
              <w:top w:val="nil"/>
              <w:left w:val="nil"/>
              <w:right w:val="nil"/>
            </w:tcBorders>
          </w:tcPr>
          <w:p>
            <w:pPr>
              <w:pStyle w:val="TableParagraph"/>
              <w:ind w:left="0"/>
              <w:rPr>
                <w:rFonts w:ascii="Times New Roman"/>
                <w:sz w:val="18"/>
              </w:rPr>
            </w:pPr>
          </w:p>
        </w:tc>
        <w:tc>
          <w:tcPr>
            <w:tcW w:w="6625" w:type="dxa"/>
            <w:tcBorders>
              <w:top w:val="nil"/>
              <w:left w:val="nil"/>
              <w:right w:val="nil"/>
            </w:tcBorders>
          </w:tcPr>
          <w:p>
            <w:pPr>
              <w:pStyle w:val="TableParagraph"/>
              <w:spacing w:line="246" w:lineRule="exact"/>
              <w:ind w:left="112"/>
              <w:rPr>
                <w:rFonts w:ascii="Calibri Light"/>
                <w:b w:val="0"/>
                <w:sz w:val="26"/>
              </w:rPr>
            </w:pPr>
            <w:r>
              <w:rPr>
                <w:rFonts w:ascii="Calibri Light"/>
                <w:b w:val="0"/>
                <w:color w:val="1C3D94"/>
                <w:sz w:val="26"/>
              </w:rPr>
              <w:t>EYFS &amp; KS1</w:t>
            </w:r>
          </w:p>
        </w:tc>
        <w:tc>
          <w:tcPr>
            <w:tcW w:w="6623" w:type="dxa"/>
            <w:tcBorders>
              <w:top w:val="nil"/>
              <w:left w:val="nil"/>
              <w:right w:val="nil"/>
            </w:tcBorders>
          </w:tcPr>
          <w:p>
            <w:pPr>
              <w:pStyle w:val="TableParagraph"/>
              <w:spacing w:line="246" w:lineRule="exact"/>
              <w:ind w:left="110"/>
              <w:rPr>
                <w:rFonts w:ascii="Calibri Light"/>
                <w:b w:val="0"/>
                <w:sz w:val="26"/>
              </w:rPr>
            </w:pPr>
            <w:r>
              <w:rPr>
                <w:rFonts w:ascii="Calibri Light"/>
                <w:b w:val="0"/>
                <w:color w:val="1C3D94"/>
                <w:sz w:val="26"/>
              </w:rPr>
              <w:t>KS2</w:t>
            </w:r>
          </w:p>
        </w:tc>
      </w:tr>
      <w:tr>
        <w:trPr>
          <w:trHeight w:val="4824" w:hRule="atLeast"/>
        </w:trPr>
        <w:tc>
          <w:tcPr>
            <w:tcW w:w="1023" w:type="dxa"/>
            <w:tcBorders>
              <w:left w:val="single" w:sz="4" w:space="0" w:color="000000"/>
              <w:bottom w:val="single" w:sz="4" w:space="0" w:color="000000"/>
              <w:right w:val="single" w:sz="4" w:space="0" w:color="000000"/>
            </w:tcBorders>
            <w:shd w:val="clear" w:color="auto" w:fill="BEE3FF"/>
            <w:textDirection w:val="btLr"/>
          </w:tcPr>
          <w:p>
            <w:pPr>
              <w:pStyle w:val="TableParagraph"/>
              <w:spacing w:before="8"/>
              <w:ind w:left="0"/>
              <w:rPr>
                <w:rFonts w:ascii="Calibri Light"/>
                <w:b w:val="0"/>
                <w:sz w:val="30"/>
              </w:rPr>
            </w:pPr>
          </w:p>
          <w:p>
            <w:pPr>
              <w:pStyle w:val="TableParagraph"/>
              <w:ind w:left="2215"/>
              <w:rPr>
                <w:rFonts w:ascii="Calibri"/>
                <w:sz w:val="22"/>
              </w:rPr>
            </w:pPr>
            <w:r>
              <w:rPr>
                <w:rFonts w:ascii="Calibri"/>
                <w:sz w:val="22"/>
              </w:rPr>
              <w:t>Me, my body and my health</w:t>
            </w:r>
          </w:p>
        </w:tc>
        <w:tc>
          <w:tcPr>
            <w:tcW w:w="6625" w:type="dxa"/>
            <w:tcBorders>
              <w:left w:val="single" w:sz="4" w:space="0" w:color="000000"/>
              <w:bottom w:val="single" w:sz="4" w:space="0" w:color="000000"/>
              <w:right w:val="single" w:sz="4" w:space="0" w:color="000000"/>
            </w:tcBorders>
          </w:tcPr>
          <w:p>
            <w:pPr>
              <w:pStyle w:val="TableParagraph"/>
              <w:spacing w:line="255" w:lineRule="exact"/>
              <w:ind w:left="107"/>
              <w:rPr>
                <w:rFonts w:ascii="Calibri"/>
                <w:b/>
                <w:sz w:val="22"/>
              </w:rPr>
            </w:pPr>
            <w:r>
              <w:rPr>
                <w:rFonts w:ascii="Calibri"/>
                <w:b/>
                <w:sz w:val="22"/>
              </w:rPr>
              <w:t>Pupils should be taught:</w:t>
            </w:r>
          </w:p>
          <w:p>
            <w:pPr>
              <w:pStyle w:val="TableParagraph"/>
              <w:ind w:left="107"/>
              <w:rPr>
                <w:rFonts w:ascii="Calibri"/>
                <w:b/>
                <w:sz w:val="22"/>
              </w:rPr>
            </w:pPr>
            <w:r>
              <w:rPr>
                <w:rFonts w:ascii="Calibri"/>
                <w:b/>
                <w:sz w:val="22"/>
              </w:rPr>
              <w:t>Me</w:t>
            </w:r>
          </w:p>
          <w:p>
            <w:pPr>
              <w:pStyle w:val="TableParagraph"/>
              <w:numPr>
                <w:ilvl w:val="3"/>
                <w:numId w:val="60"/>
              </w:numPr>
              <w:tabs>
                <w:tab w:pos="960" w:val="left" w:leader="none"/>
              </w:tabs>
              <w:spacing w:line="240" w:lineRule="auto" w:before="0" w:after="0"/>
              <w:ind w:left="959" w:right="0" w:hanging="853"/>
              <w:jc w:val="left"/>
              <w:rPr>
                <w:rFonts w:ascii="Calibri"/>
                <w:sz w:val="22"/>
              </w:rPr>
            </w:pPr>
            <w:r>
              <w:rPr>
                <w:rFonts w:ascii="Calibri"/>
                <w:sz w:val="22"/>
              </w:rPr>
              <w:t>We are all unique individuals</w:t>
            </w:r>
          </w:p>
          <w:p>
            <w:pPr>
              <w:pStyle w:val="TableParagraph"/>
              <w:numPr>
                <w:ilvl w:val="3"/>
                <w:numId w:val="60"/>
              </w:numPr>
              <w:tabs>
                <w:tab w:pos="960" w:val="left" w:leader="none"/>
              </w:tabs>
              <w:spacing w:line="240" w:lineRule="auto" w:before="0" w:after="0"/>
              <w:ind w:left="959" w:right="0" w:hanging="853"/>
              <w:jc w:val="left"/>
              <w:rPr>
                <w:rFonts w:ascii="Calibri"/>
                <w:sz w:val="22"/>
              </w:rPr>
            </w:pPr>
            <w:r>
              <w:rPr>
                <w:rFonts w:ascii="Calibri"/>
                <w:sz w:val="22"/>
              </w:rPr>
              <w:t>We all have individual gifts, talents and</w:t>
            </w:r>
            <w:r>
              <w:rPr>
                <w:rFonts w:ascii="Calibri"/>
                <w:spacing w:val="-8"/>
                <w:sz w:val="22"/>
              </w:rPr>
              <w:t> </w:t>
            </w:r>
            <w:r>
              <w:rPr>
                <w:rFonts w:ascii="Calibri"/>
                <w:sz w:val="22"/>
              </w:rPr>
              <w:t>abilities</w:t>
            </w:r>
          </w:p>
          <w:p>
            <w:pPr>
              <w:pStyle w:val="TableParagraph"/>
              <w:spacing w:line="267" w:lineRule="exact" w:before="1"/>
              <w:ind w:left="107"/>
              <w:rPr>
                <w:rFonts w:ascii="Calibri"/>
                <w:b/>
                <w:sz w:val="22"/>
              </w:rPr>
            </w:pPr>
            <w:r>
              <w:rPr>
                <w:rFonts w:ascii="Calibri"/>
                <w:b/>
                <w:sz w:val="22"/>
              </w:rPr>
              <w:t>My body</w:t>
            </w:r>
          </w:p>
          <w:p>
            <w:pPr>
              <w:pStyle w:val="TableParagraph"/>
              <w:numPr>
                <w:ilvl w:val="3"/>
                <w:numId w:val="61"/>
              </w:numPr>
              <w:tabs>
                <w:tab w:pos="960" w:val="left" w:leader="none"/>
              </w:tabs>
              <w:spacing w:line="267" w:lineRule="exact" w:before="0" w:after="0"/>
              <w:ind w:left="959" w:right="0" w:hanging="853"/>
              <w:jc w:val="left"/>
              <w:rPr>
                <w:rFonts w:ascii="Calibri"/>
                <w:sz w:val="22"/>
              </w:rPr>
            </w:pPr>
            <w:r>
              <w:rPr>
                <w:rFonts w:ascii="Calibri"/>
                <w:sz w:val="22"/>
              </w:rPr>
              <w:t>The names of the external parts of the</w:t>
            </w:r>
            <w:r>
              <w:rPr>
                <w:rFonts w:ascii="Calibri"/>
                <w:spacing w:val="-10"/>
                <w:sz w:val="22"/>
              </w:rPr>
              <w:t> </w:t>
            </w:r>
            <w:r>
              <w:rPr>
                <w:rFonts w:ascii="Calibri"/>
                <w:sz w:val="22"/>
              </w:rPr>
              <w:t>body</w:t>
            </w:r>
          </w:p>
          <w:p>
            <w:pPr>
              <w:pStyle w:val="TableParagraph"/>
              <w:numPr>
                <w:ilvl w:val="3"/>
                <w:numId w:val="61"/>
              </w:numPr>
              <w:tabs>
                <w:tab w:pos="960" w:val="left" w:leader="none"/>
              </w:tabs>
              <w:spacing w:line="240" w:lineRule="auto" w:before="1" w:after="0"/>
              <w:ind w:left="959" w:right="0" w:hanging="853"/>
              <w:jc w:val="left"/>
              <w:rPr>
                <w:rFonts w:ascii="Calibri"/>
                <w:sz w:val="22"/>
              </w:rPr>
            </w:pPr>
            <w:r>
              <w:rPr>
                <w:rFonts w:ascii="Calibri"/>
                <w:sz w:val="22"/>
              </w:rPr>
              <w:t>The similarities and differences between girls and</w:t>
            </w:r>
            <w:r>
              <w:rPr>
                <w:rFonts w:ascii="Calibri"/>
                <w:spacing w:val="-9"/>
                <w:sz w:val="22"/>
              </w:rPr>
              <w:t> </w:t>
            </w:r>
            <w:r>
              <w:rPr>
                <w:rFonts w:ascii="Calibri"/>
                <w:sz w:val="22"/>
              </w:rPr>
              <w:t>boys</w:t>
            </w:r>
          </w:p>
          <w:p>
            <w:pPr>
              <w:pStyle w:val="TableParagraph"/>
              <w:ind w:left="107"/>
              <w:rPr>
                <w:rFonts w:ascii="Calibri"/>
                <w:b/>
                <w:sz w:val="22"/>
              </w:rPr>
            </w:pPr>
            <w:r>
              <w:rPr>
                <w:rFonts w:ascii="Calibri"/>
                <w:b/>
                <w:sz w:val="22"/>
              </w:rPr>
              <w:t>My Health</w:t>
            </w:r>
          </w:p>
          <w:p>
            <w:pPr>
              <w:pStyle w:val="TableParagraph"/>
              <w:numPr>
                <w:ilvl w:val="3"/>
                <w:numId w:val="61"/>
              </w:numPr>
              <w:tabs>
                <w:tab w:pos="960" w:val="left" w:leader="none"/>
              </w:tabs>
              <w:spacing w:line="240" w:lineRule="auto" w:before="0" w:after="0"/>
              <w:ind w:left="959" w:right="0" w:hanging="853"/>
              <w:jc w:val="left"/>
              <w:rPr>
                <w:rFonts w:ascii="Calibri"/>
                <w:sz w:val="22"/>
              </w:rPr>
            </w:pPr>
            <w:r>
              <w:rPr>
                <w:rFonts w:ascii="Calibri"/>
                <w:sz w:val="22"/>
              </w:rPr>
              <w:t>How to maintain personal</w:t>
            </w:r>
            <w:r>
              <w:rPr>
                <w:rFonts w:ascii="Calibri"/>
                <w:spacing w:val="-9"/>
                <w:sz w:val="22"/>
              </w:rPr>
              <w:t> </w:t>
            </w:r>
            <w:r>
              <w:rPr>
                <w:rFonts w:ascii="Calibri"/>
                <w:sz w:val="22"/>
              </w:rPr>
              <w:t>hygiene</w:t>
            </w:r>
          </w:p>
          <w:p>
            <w:pPr>
              <w:pStyle w:val="TableParagraph"/>
              <w:numPr>
                <w:ilvl w:val="3"/>
                <w:numId w:val="61"/>
              </w:numPr>
              <w:tabs>
                <w:tab w:pos="960" w:val="left" w:leader="none"/>
              </w:tabs>
              <w:spacing w:line="240" w:lineRule="auto" w:before="0" w:after="0"/>
              <w:ind w:left="959" w:right="749" w:hanging="852"/>
              <w:jc w:val="left"/>
              <w:rPr>
                <w:rFonts w:ascii="Calibri"/>
                <w:sz w:val="22"/>
              </w:rPr>
            </w:pPr>
            <w:r>
              <w:rPr>
                <w:rFonts w:ascii="Calibri"/>
                <w:sz w:val="22"/>
              </w:rPr>
              <w:t>What constitutes a healthy life-style, including physical activity, dental health and healthy</w:t>
            </w:r>
            <w:r>
              <w:rPr>
                <w:rFonts w:ascii="Calibri"/>
                <w:spacing w:val="-6"/>
                <w:sz w:val="22"/>
              </w:rPr>
              <w:t> </w:t>
            </w:r>
            <w:r>
              <w:rPr>
                <w:rFonts w:ascii="Calibri"/>
                <w:sz w:val="22"/>
              </w:rPr>
              <w:t>eating.</w:t>
            </w:r>
          </w:p>
        </w:tc>
        <w:tc>
          <w:tcPr>
            <w:tcW w:w="6623" w:type="dxa"/>
            <w:tcBorders>
              <w:left w:val="single" w:sz="4" w:space="0" w:color="000000"/>
              <w:bottom w:val="single" w:sz="4" w:space="0" w:color="000000"/>
              <w:right w:val="single" w:sz="4" w:space="0" w:color="000000"/>
            </w:tcBorders>
          </w:tcPr>
          <w:p>
            <w:pPr>
              <w:pStyle w:val="TableParagraph"/>
              <w:spacing w:line="255" w:lineRule="exact"/>
              <w:ind w:left="105"/>
              <w:rPr>
                <w:rFonts w:ascii="Calibri"/>
                <w:b/>
                <w:sz w:val="22"/>
              </w:rPr>
            </w:pPr>
            <w:r>
              <w:rPr>
                <w:rFonts w:ascii="Calibri"/>
                <w:b/>
                <w:sz w:val="22"/>
              </w:rPr>
              <w:t>Pupils should be taught:</w:t>
            </w:r>
          </w:p>
          <w:p>
            <w:pPr>
              <w:pStyle w:val="TableParagraph"/>
              <w:ind w:left="105"/>
              <w:rPr>
                <w:rFonts w:ascii="Calibri"/>
                <w:b/>
                <w:sz w:val="22"/>
              </w:rPr>
            </w:pPr>
            <w:r>
              <w:rPr>
                <w:rFonts w:ascii="Calibri"/>
                <w:b/>
                <w:sz w:val="22"/>
              </w:rPr>
              <w:t>Me</w:t>
            </w:r>
          </w:p>
          <w:p>
            <w:pPr>
              <w:pStyle w:val="TableParagraph"/>
              <w:numPr>
                <w:ilvl w:val="3"/>
                <w:numId w:val="62"/>
              </w:numPr>
              <w:tabs>
                <w:tab w:pos="958" w:val="left" w:leader="none"/>
              </w:tabs>
              <w:spacing w:line="240" w:lineRule="auto" w:before="0" w:after="0"/>
              <w:ind w:left="957" w:right="415" w:hanging="852"/>
              <w:jc w:val="left"/>
              <w:rPr>
                <w:rFonts w:ascii="Calibri"/>
                <w:sz w:val="22"/>
              </w:rPr>
            </w:pPr>
            <w:r>
              <w:rPr>
                <w:rFonts w:ascii="Calibri"/>
                <w:sz w:val="22"/>
              </w:rPr>
              <w:t>Everyone expresses their uniqueness in different ways and that being different is not always</w:t>
            </w:r>
            <w:r>
              <w:rPr>
                <w:rFonts w:ascii="Calibri"/>
                <w:spacing w:val="-6"/>
                <w:sz w:val="22"/>
              </w:rPr>
              <w:t> </w:t>
            </w:r>
            <w:r>
              <w:rPr>
                <w:rFonts w:ascii="Calibri"/>
                <w:sz w:val="22"/>
              </w:rPr>
              <w:t>easy</w:t>
            </w:r>
          </w:p>
          <w:p>
            <w:pPr>
              <w:pStyle w:val="TableParagraph"/>
              <w:numPr>
                <w:ilvl w:val="3"/>
                <w:numId w:val="62"/>
              </w:numPr>
              <w:tabs>
                <w:tab w:pos="958" w:val="left" w:leader="none"/>
              </w:tabs>
              <w:spacing w:line="267" w:lineRule="exact" w:before="1" w:after="0"/>
              <w:ind w:left="957" w:right="0" w:hanging="853"/>
              <w:jc w:val="left"/>
              <w:rPr>
                <w:rFonts w:ascii="Calibri"/>
                <w:sz w:val="22"/>
              </w:rPr>
            </w:pPr>
            <w:r>
              <w:rPr>
                <w:rFonts w:ascii="Calibri"/>
                <w:sz w:val="22"/>
              </w:rPr>
              <w:t>Strategies to develop self-confidence and</w:t>
            </w:r>
            <w:r>
              <w:rPr>
                <w:rFonts w:ascii="Calibri"/>
                <w:spacing w:val="-9"/>
                <w:sz w:val="22"/>
              </w:rPr>
              <w:t> </w:t>
            </w:r>
            <w:r>
              <w:rPr>
                <w:rFonts w:ascii="Calibri"/>
                <w:sz w:val="22"/>
              </w:rPr>
              <w:t>self-esteem</w:t>
            </w:r>
          </w:p>
          <w:p>
            <w:pPr>
              <w:pStyle w:val="TableParagraph"/>
              <w:numPr>
                <w:ilvl w:val="3"/>
                <w:numId w:val="62"/>
              </w:numPr>
              <w:tabs>
                <w:tab w:pos="958" w:val="left" w:leader="none"/>
              </w:tabs>
              <w:spacing w:line="267" w:lineRule="exact" w:before="0" w:after="0"/>
              <w:ind w:left="957" w:right="0" w:hanging="853"/>
              <w:jc w:val="left"/>
              <w:rPr>
                <w:rFonts w:ascii="Calibri"/>
                <w:sz w:val="22"/>
              </w:rPr>
            </w:pPr>
            <w:r>
              <w:rPr>
                <w:rFonts w:ascii="Calibri"/>
                <w:sz w:val="22"/>
              </w:rPr>
              <w:t>Each person has a purpose in the</w:t>
            </w:r>
            <w:r>
              <w:rPr>
                <w:rFonts w:ascii="Calibri"/>
                <w:spacing w:val="-9"/>
                <w:sz w:val="22"/>
              </w:rPr>
              <w:t> </w:t>
            </w:r>
            <w:r>
              <w:rPr>
                <w:rFonts w:ascii="Calibri"/>
                <w:sz w:val="22"/>
              </w:rPr>
              <w:t>world</w:t>
            </w:r>
          </w:p>
          <w:p>
            <w:pPr>
              <w:pStyle w:val="TableParagraph"/>
              <w:numPr>
                <w:ilvl w:val="3"/>
                <w:numId w:val="62"/>
              </w:numPr>
              <w:tabs>
                <w:tab w:pos="958" w:val="left" w:leader="none"/>
              </w:tabs>
              <w:spacing w:line="240" w:lineRule="auto" w:before="1" w:after="0"/>
              <w:ind w:left="957" w:right="222" w:hanging="852"/>
              <w:jc w:val="left"/>
              <w:rPr>
                <w:rFonts w:ascii="Calibri"/>
                <w:sz w:val="22"/>
              </w:rPr>
            </w:pPr>
            <w:r>
              <w:rPr>
                <w:rFonts w:ascii="Calibri"/>
                <w:sz w:val="22"/>
              </w:rPr>
              <w:t>That similarities and differences between people arise from several different factors (See protected characteristics of the Equality Act 2010, Part 2, Chapter 1, sections</w:t>
            </w:r>
            <w:r>
              <w:rPr>
                <w:rFonts w:ascii="Calibri"/>
                <w:spacing w:val="-16"/>
                <w:sz w:val="22"/>
              </w:rPr>
              <w:t> </w:t>
            </w:r>
            <w:r>
              <w:rPr>
                <w:rFonts w:ascii="Calibri"/>
                <w:sz w:val="22"/>
              </w:rPr>
              <w:t>4-12)</w:t>
            </w:r>
          </w:p>
          <w:p>
            <w:pPr>
              <w:pStyle w:val="TableParagraph"/>
              <w:ind w:left="105"/>
              <w:rPr>
                <w:rFonts w:ascii="Calibri"/>
                <w:b/>
                <w:sz w:val="22"/>
              </w:rPr>
            </w:pPr>
            <w:r>
              <w:rPr>
                <w:rFonts w:ascii="Calibri"/>
                <w:b/>
                <w:sz w:val="22"/>
              </w:rPr>
              <w:t>My body</w:t>
            </w:r>
          </w:p>
          <w:p>
            <w:pPr>
              <w:pStyle w:val="TableParagraph"/>
              <w:numPr>
                <w:ilvl w:val="3"/>
                <w:numId w:val="62"/>
              </w:numPr>
              <w:tabs>
                <w:tab w:pos="958" w:val="left" w:leader="none"/>
              </w:tabs>
              <w:spacing w:line="240" w:lineRule="auto" w:before="1" w:after="0"/>
              <w:ind w:left="957" w:right="0" w:hanging="853"/>
              <w:jc w:val="left"/>
              <w:rPr>
                <w:rFonts w:ascii="Calibri"/>
                <w:sz w:val="22"/>
              </w:rPr>
            </w:pPr>
            <w:r>
              <w:rPr>
                <w:rFonts w:ascii="Calibri"/>
                <w:sz w:val="22"/>
              </w:rPr>
              <w:t>Their body will change and develop as they</w:t>
            </w:r>
            <w:r>
              <w:rPr>
                <w:rFonts w:ascii="Calibri"/>
                <w:spacing w:val="-9"/>
                <w:sz w:val="22"/>
              </w:rPr>
              <w:t> </w:t>
            </w:r>
            <w:r>
              <w:rPr>
                <w:rFonts w:ascii="Calibri"/>
                <w:sz w:val="22"/>
              </w:rPr>
              <w:t>grow</w:t>
            </w:r>
          </w:p>
          <w:p>
            <w:pPr>
              <w:pStyle w:val="TableParagraph"/>
              <w:numPr>
                <w:ilvl w:val="3"/>
                <w:numId w:val="62"/>
              </w:numPr>
              <w:tabs>
                <w:tab w:pos="958" w:val="left" w:leader="none"/>
              </w:tabs>
              <w:spacing w:line="240" w:lineRule="auto" w:before="0" w:after="0"/>
              <w:ind w:left="957" w:right="704" w:hanging="852"/>
              <w:jc w:val="left"/>
              <w:rPr>
                <w:rFonts w:ascii="Calibri"/>
                <w:sz w:val="22"/>
              </w:rPr>
            </w:pPr>
            <w:r>
              <w:rPr>
                <w:rFonts w:ascii="Calibri"/>
                <w:sz w:val="22"/>
              </w:rPr>
              <w:t>About the growth and development of humans and the changes experienced during</w:t>
            </w:r>
            <w:r>
              <w:rPr>
                <w:rFonts w:ascii="Calibri"/>
                <w:spacing w:val="-4"/>
                <w:sz w:val="22"/>
              </w:rPr>
              <w:t> </w:t>
            </w:r>
            <w:r>
              <w:rPr>
                <w:rFonts w:ascii="Calibri"/>
                <w:sz w:val="22"/>
              </w:rPr>
              <w:t>puberty</w:t>
            </w:r>
          </w:p>
          <w:p>
            <w:pPr>
              <w:pStyle w:val="TableParagraph"/>
              <w:numPr>
                <w:ilvl w:val="3"/>
                <w:numId w:val="62"/>
              </w:numPr>
              <w:tabs>
                <w:tab w:pos="958" w:val="left" w:leader="none"/>
              </w:tabs>
              <w:spacing w:line="240" w:lineRule="auto" w:before="0" w:after="0"/>
              <w:ind w:left="957" w:right="98" w:hanging="852"/>
              <w:jc w:val="left"/>
              <w:rPr>
                <w:rFonts w:ascii="Calibri"/>
                <w:sz w:val="22"/>
              </w:rPr>
            </w:pPr>
            <w:r>
              <w:rPr>
                <w:rFonts w:ascii="Calibri"/>
                <w:sz w:val="22"/>
              </w:rPr>
              <w:t>The names of the main parts of the body, including identifying and correctly naming genitalia (e.g. penis and</w:t>
            </w:r>
            <w:r>
              <w:rPr>
                <w:rFonts w:ascii="Calibri"/>
                <w:spacing w:val="-10"/>
                <w:sz w:val="22"/>
              </w:rPr>
              <w:t> </w:t>
            </w:r>
            <w:r>
              <w:rPr>
                <w:rFonts w:ascii="Calibri"/>
                <w:sz w:val="22"/>
              </w:rPr>
              <w:t>vagina)</w:t>
            </w:r>
          </w:p>
          <w:p>
            <w:pPr>
              <w:pStyle w:val="TableParagraph"/>
              <w:spacing w:line="267" w:lineRule="exact"/>
              <w:ind w:left="105"/>
              <w:rPr>
                <w:rFonts w:ascii="Calibri"/>
                <w:b/>
                <w:sz w:val="22"/>
              </w:rPr>
            </w:pPr>
            <w:r>
              <w:rPr>
                <w:rFonts w:ascii="Calibri"/>
                <w:b/>
                <w:sz w:val="22"/>
              </w:rPr>
              <w:t>My health</w:t>
            </w:r>
          </w:p>
          <w:p>
            <w:pPr>
              <w:pStyle w:val="TableParagraph"/>
              <w:numPr>
                <w:ilvl w:val="3"/>
                <w:numId w:val="62"/>
              </w:numPr>
              <w:tabs>
                <w:tab w:pos="958" w:val="left" w:leader="none"/>
              </w:tabs>
              <w:spacing w:line="270" w:lineRule="atLeast" w:before="0" w:after="0"/>
              <w:ind w:left="957" w:right="281" w:hanging="852"/>
              <w:jc w:val="left"/>
              <w:rPr>
                <w:rFonts w:ascii="Calibri"/>
                <w:sz w:val="22"/>
              </w:rPr>
            </w:pPr>
            <w:r>
              <w:rPr>
                <w:rFonts w:ascii="Calibri"/>
                <w:sz w:val="22"/>
              </w:rPr>
              <w:t>How to make informed choices that have an impact on their health</w:t>
            </w:r>
          </w:p>
        </w:tc>
      </w:tr>
      <w:tr>
        <w:trPr>
          <w:trHeight w:val="3763" w:hRule="atLeast"/>
        </w:trPr>
        <w:tc>
          <w:tcPr>
            <w:tcW w:w="1023" w:type="dxa"/>
            <w:tcBorders>
              <w:top w:val="single" w:sz="4" w:space="0" w:color="000000"/>
              <w:left w:val="single" w:sz="4" w:space="0" w:color="000000"/>
              <w:bottom w:val="single" w:sz="4" w:space="0" w:color="000000"/>
              <w:right w:val="single" w:sz="4" w:space="0" w:color="000000"/>
            </w:tcBorders>
            <w:shd w:val="clear" w:color="auto" w:fill="BEE3FF"/>
            <w:textDirection w:val="btLr"/>
          </w:tcPr>
          <w:p>
            <w:pPr>
              <w:pStyle w:val="TableParagraph"/>
              <w:spacing w:before="8"/>
              <w:ind w:left="0"/>
              <w:rPr>
                <w:rFonts w:ascii="Calibri Light"/>
                <w:b w:val="0"/>
                <w:sz w:val="30"/>
              </w:rPr>
            </w:pPr>
          </w:p>
          <w:p>
            <w:pPr>
              <w:pStyle w:val="TableParagraph"/>
              <w:ind w:left="516"/>
              <w:rPr>
                <w:rFonts w:ascii="Calibri"/>
                <w:sz w:val="22"/>
              </w:rPr>
            </w:pPr>
            <w:r>
              <w:rPr>
                <w:rFonts w:ascii="Calibri"/>
                <w:sz w:val="22"/>
              </w:rPr>
              <w:t>Emotional well-being and attitudes</w:t>
            </w:r>
          </w:p>
        </w:tc>
        <w:tc>
          <w:tcPr>
            <w:tcW w:w="6625"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7"/>
              <w:rPr>
                <w:rFonts w:ascii="Calibri"/>
                <w:b/>
                <w:sz w:val="22"/>
              </w:rPr>
            </w:pPr>
            <w:r>
              <w:rPr>
                <w:rFonts w:ascii="Calibri"/>
                <w:b/>
                <w:sz w:val="22"/>
              </w:rPr>
              <w:t>Pupils should be taught:</w:t>
            </w:r>
          </w:p>
          <w:p>
            <w:pPr>
              <w:pStyle w:val="TableParagraph"/>
              <w:ind w:left="107"/>
              <w:rPr>
                <w:rFonts w:ascii="Calibri"/>
                <w:b/>
                <w:sz w:val="22"/>
              </w:rPr>
            </w:pPr>
            <w:r>
              <w:rPr>
                <w:rFonts w:ascii="Calibri"/>
                <w:b/>
                <w:sz w:val="22"/>
              </w:rPr>
              <w:t>Emotional well-being</w:t>
            </w:r>
          </w:p>
          <w:p>
            <w:pPr>
              <w:pStyle w:val="TableParagraph"/>
              <w:numPr>
                <w:ilvl w:val="3"/>
                <w:numId w:val="63"/>
              </w:numPr>
              <w:tabs>
                <w:tab w:pos="960" w:val="left" w:leader="none"/>
              </w:tabs>
              <w:spacing w:line="240" w:lineRule="auto" w:before="0" w:after="0"/>
              <w:ind w:left="959" w:right="0" w:hanging="853"/>
              <w:jc w:val="left"/>
              <w:rPr>
                <w:rFonts w:ascii="Calibri"/>
                <w:sz w:val="22"/>
              </w:rPr>
            </w:pPr>
            <w:r>
              <w:rPr>
                <w:rFonts w:ascii="Calibri"/>
                <w:sz w:val="22"/>
              </w:rPr>
              <w:t>That we all have different likes and</w:t>
            </w:r>
            <w:r>
              <w:rPr>
                <w:rFonts w:ascii="Calibri"/>
                <w:spacing w:val="-1"/>
                <w:sz w:val="22"/>
              </w:rPr>
              <w:t> </w:t>
            </w:r>
            <w:r>
              <w:rPr>
                <w:rFonts w:ascii="Calibri"/>
                <w:sz w:val="22"/>
              </w:rPr>
              <w:t>dislikes</w:t>
            </w:r>
          </w:p>
          <w:p>
            <w:pPr>
              <w:pStyle w:val="TableParagraph"/>
              <w:numPr>
                <w:ilvl w:val="3"/>
                <w:numId w:val="63"/>
              </w:numPr>
              <w:tabs>
                <w:tab w:pos="960" w:val="left" w:leader="none"/>
              </w:tabs>
              <w:spacing w:line="240" w:lineRule="auto" w:before="0" w:after="0"/>
              <w:ind w:left="959" w:right="0" w:hanging="853"/>
              <w:jc w:val="left"/>
              <w:rPr>
                <w:rFonts w:ascii="Calibri"/>
                <w:sz w:val="22"/>
              </w:rPr>
            </w:pPr>
            <w:r>
              <w:rPr>
                <w:rFonts w:ascii="Calibri"/>
                <w:sz w:val="22"/>
              </w:rPr>
              <w:t>A language to describe</w:t>
            </w:r>
            <w:r>
              <w:rPr>
                <w:rFonts w:ascii="Calibri"/>
                <w:spacing w:val="-3"/>
                <w:sz w:val="22"/>
              </w:rPr>
              <w:t> </w:t>
            </w:r>
            <w:r>
              <w:rPr>
                <w:rFonts w:ascii="Calibri"/>
                <w:sz w:val="22"/>
              </w:rPr>
              <w:t>feelings</w:t>
            </w:r>
          </w:p>
          <w:p>
            <w:pPr>
              <w:pStyle w:val="TableParagraph"/>
              <w:spacing w:before="1"/>
              <w:ind w:left="107"/>
              <w:rPr>
                <w:rFonts w:ascii="Calibri"/>
                <w:b/>
                <w:sz w:val="22"/>
              </w:rPr>
            </w:pPr>
            <w:r>
              <w:rPr>
                <w:rFonts w:ascii="Calibri"/>
                <w:b/>
                <w:sz w:val="22"/>
              </w:rPr>
              <w:t>Attitudes</w:t>
            </w:r>
          </w:p>
          <w:p>
            <w:pPr>
              <w:pStyle w:val="TableParagraph"/>
              <w:numPr>
                <w:ilvl w:val="3"/>
                <w:numId w:val="63"/>
              </w:numPr>
              <w:tabs>
                <w:tab w:pos="960" w:val="left" w:leader="none"/>
              </w:tabs>
              <w:spacing w:line="240" w:lineRule="auto" w:before="1" w:after="0"/>
              <w:ind w:left="959" w:right="702" w:hanging="852"/>
              <w:jc w:val="left"/>
              <w:rPr>
                <w:rFonts w:ascii="Calibri"/>
                <w:sz w:val="22"/>
              </w:rPr>
            </w:pPr>
            <w:r>
              <w:rPr>
                <w:rFonts w:ascii="Calibri"/>
                <w:sz w:val="22"/>
              </w:rPr>
              <w:t>A basic understanding that feelings and actions are two different</w:t>
            </w:r>
            <w:r>
              <w:rPr>
                <w:rFonts w:ascii="Calibri"/>
                <w:spacing w:val="1"/>
                <w:sz w:val="22"/>
              </w:rPr>
              <w:t> </w:t>
            </w:r>
            <w:r>
              <w:rPr>
                <w:rFonts w:ascii="Calibri"/>
                <w:sz w:val="22"/>
              </w:rPr>
              <w:t>things</w:t>
            </w:r>
          </w:p>
          <w:p>
            <w:pPr>
              <w:pStyle w:val="TableParagraph"/>
              <w:numPr>
                <w:ilvl w:val="3"/>
                <w:numId w:val="63"/>
              </w:numPr>
              <w:tabs>
                <w:tab w:pos="960" w:val="left" w:leader="none"/>
              </w:tabs>
              <w:spacing w:line="240" w:lineRule="auto" w:before="0" w:after="0"/>
              <w:ind w:left="959" w:right="0" w:hanging="853"/>
              <w:jc w:val="left"/>
              <w:rPr>
                <w:rFonts w:ascii="Calibri"/>
                <w:sz w:val="22"/>
              </w:rPr>
            </w:pPr>
            <w:r>
              <w:rPr>
                <w:rFonts w:ascii="Calibri"/>
                <w:sz w:val="22"/>
              </w:rPr>
              <w:t>Simple strategies for managing feelings and</w:t>
            </w:r>
            <w:r>
              <w:rPr>
                <w:rFonts w:ascii="Calibri"/>
                <w:spacing w:val="-6"/>
                <w:sz w:val="22"/>
              </w:rPr>
              <w:t> </w:t>
            </w:r>
            <w:r>
              <w:rPr>
                <w:rFonts w:ascii="Calibri"/>
                <w:sz w:val="22"/>
              </w:rPr>
              <w:t>behaviour</w:t>
            </w:r>
          </w:p>
          <w:p>
            <w:pPr>
              <w:pStyle w:val="TableParagraph"/>
              <w:numPr>
                <w:ilvl w:val="3"/>
                <w:numId w:val="63"/>
              </w:numPr>
              <w:tabs>
                <w:tab w:pos="960" w:val="left" w:leader="none"/>
              </w:tabs>
              <w:spacing w:line="240" w:lineRule="auto" w:before="0" w:after="0"/>
              <w:ind w:left="959" w:right="0" w:hanging="853"/>
              <w:jc w:val="left"/>
              <w:rPr>
                <w:rFonts w:ascii="Calibri"/>
                <w:sz w:val="22"/>
              </w:rPr>
            </w:pPr>
            <w:r>
              <w:rPr>
                <w:rFonts w:ascii="Calibri"/>
                <w:sz w:val="22"/>
              </w:rPr>
              <w:t>That choices have</w:t>
            </w:r>
            <w:r>
              <w:rPr>
                <w:rFonts w:ascii="Calibri"/>
                <w:spacing w:val="-5"/>
                <w:sz w:val="22"/>
              </w:rPr>
              <w:t> </w:t>
            </w:r>
            <w:r>
              <w:rPr>
                <w:rFonts w:ascii="Calibri"/>
                <w:sz w:val="22"/>
              </w:rPr>
              <w:t>consequences</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5"/>
              <w:rPr>
                <w:rFonts w:ascii="Calibri"/>
                <w:b/>
                <w:sz w:val="22"/>
              </w:rPr>
            </w:pPr>
            <w:r>
              <w:rPr>
                <w:rFonts w:ascii="Calibri"/>
                <w:b/>
                <w:sz w:val="22"/>
              </w:rPr>
              <w:t>Pupils should be taught:</w:t>
            </w:r>
          </w:p>
          <w:p>
            <w:pPr>
              <w:pStyle w:val="TableParagraph"/>
              <w:ind w:left="105"/>
              <w:rPr>
                <w:rFonts w:ascii="Calibri"/>
                <w:b/>
                <w:sz w:val="22"/>
              </w:rPr>
            </w:pPr>
            <w:r>
              <w:rPr>
                <w:rFonts w:ascii="Calibri"/>
                <w:b/>
                <w:sz w:val="22"/>
              </w:rPr>
              <w:t>Emotional well-being</w:t>
            </w:r>
          </w:p>
          <w:p>
            <w:pPr>
              <w:pStyle w:val="TableParagraph"/>
              <w:numPr>
                <w:ilvl w:val="3"/>
                <w:numId w:val="64"/>
              </w:numPr>
              <w:tabs>
                <w:tab w:pos="958" w:val="left" w:leader="none"/>
              </w:tabs>
              <w:spacing w:line="240" w:lineRule="auto" w:before="0" w:after="0"/>
              <w:ind w:left="957" w:right="404" w:hanging="852"/>
              <w:jc w:val="left"/>
              <w:rPr>
                <w:rFonts w:ascii="Calibri"/>
                <w:sz w:val="22"/>
              </w:rPr>
            </w:pPr>
            <w:r>
              <w:rPr>
                <w:rFonts w:ascii="Calibri"/>
                <w:sz w:val="22"/>
              </w:rPr>
              <w:t>Their emotions may change as they approach as they grow and move through</w:t>
            </w:r>
            <w:r>
              <w:rPr>
                <w:rFonts w:ascii="Calibri"/>
                <w:spacing w:val="-5"/>
                <w:sz w:val="22"/>
              </w:rPr>
              <w:t> </w:t>
            </w:r>
            <w:r>
              <w:rPr>
                <w:rFonts w:ascii="Calibri"/>
                <w:sz w:val="22"/>
              </w:rPr>
              <w:t>puberty</w:t>
            </w:r>
          </w:p>
          <w:p>
            <w:pPr>
              <w:pStyle w:val="TableParagraph"/>
              <w:numPr>
                <w:ilvl w:val="3"/>
                <w:numId w:val="64"/>
              </w:numPr>
              <w:tabs>
                <w:tab w:pos="958" w:val="left" w:leader="none"/>
              </w:tabs>
              <w:spacing w:line="240" w:lineRule="auto" w:before="1" w:after="0"/>
              <w:ind w:left="957" w:right="233" w:hanging="852"/>
              <w:jc w:val="left"/>
              <w:rPr>
                <w:rFonts w:ascii="Calibri"/>
                <w:sz w:val="22"/>
              </w:rPr>
            </w:pPr>
            <w:r>
              <w:rPr>
                <w:rFonts w:ascii="Calibri"/>
                <w:sz w:val="22"/>
              </w:rPr>
              <w:t>To extend their vocabulary to deepen their understanding of the range and intensity of their</w:t>
            </w:r>
            <w:r>
              <w:rPr>
                <w:rFonts w:ascii="Calibri"/>
                <w:spacing w:val="-4"/>
                <w:sz w:val="22"/>
              </w:rPr>
              <w:t> </w:t>
            </w:r>
            <w:r>
              <w:rPr>
                <w:rFonts w:ascii="Calibri"/>
                <w:sz w:val="22"/>
              </w:rPr>
              <w:t>feelings</w:t>
            </w:r>
          </w:p>
          <w:p>
            <w:pPr>
              <w:pStyle w:val="TableParagraph"/>
              <w:numPr>
                <w:ilvl w:val="3"/>
                <w:numId w:val="64"/>
              </w:numPr>
              <w:tabs>
                <w:tab w:pos="958" w:val="left" w:leader="none"/>
              </w:tabs>
              <w:spacing w:line="240" w:lineRule="auto" w:before="1" w:after="0"/>
              <w:ind w:left="957" w:right="277" w:hanging="852"/>
              <w:jc w:val="left"/>
              <w:rPr>
                <w:rFonts w:ascii="Calibri"/>
                <w:sz w:val="22"/>
              </w:rPr>
            </w:pPr>
            <w:r>
              <w:rPr>
                <w:rFonts w:ascii="Calibri"/>
                <w:sz w:val="22"/>
              </w:rPr>
              <w:t>What positively and negatively affects their physical, mental and emotional health (including the</w:t>
            </w:r>
            <w:r>
              <w:rPr>
                <w:rFonts w:ascii="Calibri"/>
                <w:spacing w:val="-5"/>
                <w:sz w:val="22"/>
              </w:rPr>
              <w:t> </w:t>
            </w:r>
            <w:r>
              <w:rPr>
                <w:rFonts w:ascii="Calibri"/>
                <w:sz w:val="22"/>
              </w:rPr>
              <w:t>media)</w:t>
            </w:r>
          </w:p>
          <w:p>
            <w:pPr>
              <w:pStyle w:val="TableParagraph"/>
              <w:numPr>
                <w:ilvl w:val="3"/>
                <w:numId w:val="64"/>
              </w:numPr>
              <w:tabs>
                <w:tab w:pos="958" w:val="left" w:leader="none"/>
              </w:tabs>
              <w:spacing w:line="237" w:lineRule="auto" w:before="2" w:after="0"/>
              <w:ind w:left="957" w:right="310" w:hanging="852"/>
              <w:jc w:val="left"/>
              <w:rPr>
                <w:rFonts w:ascii="Calibri"/>
                <w:sz w:val="22"/>
              </w:rPr>
            </w:pPr>
            <w:r>
              <w:rPr>
                <w:rFonts w:ascii="Calibri"/>
                <w:sz w:val="22"/>
              </w:rPr>
              <w:t>To recognise how images in the media do not always reflect reality and can affect how people feel about</w:t>
            </w:r>
            <w:r>
              <w:rPr>
                <w:rFonts w:ascii="Calibri"/>
                <w:spacing w:val="-12"/>
                <w:sz w:val="22"/>
              </w:rPr>
              <w:t> </w:t>
            </w:r>
            <w:r>
              <w:rPr>
                <w:rFonts w:ascii="Calibri"/>
                <w:sz w:val="22"/>
              </w:rPr>
              <w:t>themselves</w:t>
            </w:r>
          </w:p>
          <w:p>
            <w:pPr>
              <w:pStyle w:val="TableParagraph"/>
              <w:spacing w:before="2"/>
              <w:ind w:left="105"/>
              <w:rPr>
                <w:rFonts w:ascii="Calibri"/>
                <w:b/>
                <w:sz w:val="22"/>
              </w:rPr>
            </w:pPr>
            <w:r>
              <w:rPr>
                <w:rFonts w:ascii="Calibri"/>
                <w:b/>
                <w:sz w:val="22"/>
              </w:rPr>
              <w:t>Attitudes</w:t>
            </w:r>
          </w:p>
          <w:p>
            <w:pPr>
              <w:pStyle w:val="TableParagraph"/>
              <w:numPr>
                <w:ilvl w:val="3"/>
                <w:numId w:val="64"/>
              </w:numPr>
              <w:tabs>
                <w:tab w:pos="958" w:val="left" w:leader="none"/>
              </w:tabs>
              <w:spacing w:line="240" w:lineRule="auto" w:before="0" w:after="0"/>
              <w:ind w:left="957" w:right="0" w:hanging="853"/>
              <w:jc w:val="left"/>
              <w:rPr>
                <w:rFonts w:ascii="Calibri"/>
                <w:sz w:val="22"/>
              </w:rPr>
            </w:pPr>
            <w:r>
              <w:rPr>
                <w:rFonts w:ascii="Calibri"/>
                <w:sz w:val="22"/>
              </w:rPr>
              <w:t>That some behavior is unacceptable, unhealthy or</w:t>
            </w:r>
            <w:r>
              <w:rPr>
                <w:rFonts w:ascii="Calibri"/>
                <w:spacing w:val="-6"/>
                <w:sz w:val="22"/>
              </w:rPr>
              <w:t> </w:t>
            </w:r>
            <w:r>
              <w:rPr>
                <w:rFonts w:ascii="Calibri"/>
                <w:sz w:val="22"/>
              </w:rPr>
              <w:t>risky</w:t>
            </w:r>
          </w:p>
          <w:p>
            <w:pPr>
              <w:pStyle w:val="TableParagraph"/>
              <w:numPr>
                <w:ilvl w:val="3"/>
                <w:numId w:val="64"/>
              </w:numPr>
              <w:tabs>
                <w:tab w:pos="958" w:val="left" w:leader="none"/>
              </w:tabs>
              <w:spacing w:line="270" w:lineRule="atLeast" w:before="0" w:after="0"/>
              <w:ind w:left="957" w:right="473" w:hanging="852"/>
              <w:jc w:val="left"/>
              <w:rPr>
                <w:rFonts w:ascii="Calibri"/>
                <w:sz w:val="22"/>
              </w:rPr>
            </w:pPr>
            <w:r>
              <w:rPr>
                <w:rFonts w:ascii="Calibri"/>
                <w:sz w:val="22"/>
              </w:rPr>
              <w:t>Strategies to build resilience in order to identify and resist unacceptable pressure from a variety of</w:t>
            </w:r>
            <w:r>
              <w:rPr>
                <w:rFonts w:ascii="Calibri"/>
                <w:spacing w:val="-6"/>
                <w:sz w:val="22"/>
              </w:rPr>
              <w:t> </w:t>
            </w:r>
            <w:r>
              <w:rPr>
                <w:rFonts w:ascii="Calibri"/>
                <w:sz w:val="22"/>
              </w:rPr>
              <w:t>sources</w:t>
            </w:r>
          </w:p>
        </w:tc>
      </w:tr>
    </w:tbl>
    <w:p>
      <w:pPr>
        <w:spacing w:after="0" w:line="270" w:lineRule="atLeast"/>
        <w:jc w:val="left"/>
        <w:rPr>
          <w:rFonts w:ascii="Calibri"/>
          <w:sz w:val="22"/>
        </w:rPr>
        <w:sectPr>
          <w:headerReference w:type="default" r:id="rId102"/>
          <w:footerReference w:type="default" r:id="rId103"/>
          <w:pgSz w:w="16840" w:h="11910" w:orient="landscape"/>
          <w:pgMar w:header="0" w:footer="666" w:top="1100" w:bottom="860" w:left="1000" w:right="1320"/>
          <w:pgNumType w:start="4"/>
        </w:sectPr>
      </w:pPr>
    </w:p>
    <w:p>
      <w:pPr>
        <w:pStyle w:val="BodyText"/>
        <w:spacing w:before="10"/>
        <w:rPr>
          <w:rFonts w:ascii="Calibri Light"/>
          <w:b w:val="0"/>
          <w:sz w:val="9"/>
        </w:rPr>
      </w:pP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3"/>
        <w:gridCol w:w="6625"/>
        <w:gridCol w:w="6623"/>
      </w:tblGrid>
      <w:tr>
        <w:trPr>
          <w:trHeight w:val="265" w:hRule="atLeast"/>
        </w:trPr>
        <w:tc>
          <w:tcPr>
            <w:tcW w:w="1023" w:type="dxa"/>
            <w:tcBorders>
              <w:top w:val="nil"/>
              <w:left w:val="nil"/>
              <w:right w:val="nil"/>
            </w:tcBorders>
          </w:tcPr>
          <w:p>
            <w:pPr>
              <w:pStyle w:val="TableParagraph"/>
              <w:ind w:left="0"/>
              <w:rPr>
                <w:rFonts w:ascii="Times New Roman"/>
                <w:sz w:val="18"/>
              </w:rPr>
            </w:pPr>
          </w:p>
        </w:tc>
        <w:tc>
          <w:tcPr>
            <w:tcW w:w="6625" w:type="dxa"/>
            <w:tcBorders>
              <w:top w:val="nil"/>
              <w:left w:val="nil"/>
              <w:right w:val="nil"/>
            </w:tcBorders>
          </w:tcPr>
          <w:p>
            <w:pPr>
              <w:pStyle w:val="TableParagraph"/>
              <w:spacing w:line="246" w:lineRule="exact"/>
              <w:ind w:left="113"/>
              <w:rPr>
                <w:rFonts w:ascii="Calibri Light"/>
                <w:b w:val="0"/>
                <w:sz w:val="26"/>
              </w:rPr>
            </w:pPr>
            <w:r>
              <w:rPr>
                <w:rFonts w:ascii="Calibri Light"/>
                <w:b w:val="0"/>
                <w:color w:val="1C3D94"/>
                <w:sz w:val="26"/>
              </w:rPr>
              <w:t>EYFS &amp; KS1</w:t>
            </w:r>
          </w:p>
        </w:tc>
        <w:tc>
          <w:tcPr>
            <w:tcW w:w="6623" w:type="dxa"/>
            <w:tcBorders>
              <w:top w:val="nil"/>
              <w:left w:val="nil"/>
              <w:right w:val="nil"/>
            </w:tcBorders>
          </w:tcPr>
          <w:p>
            <w:pPr>
              <w:pStyle w:val="TableParagraph"/>
              <w:spacing w:line="246" w:lineRule="exact"/>
              <w:ind w:left="110"/>
              <w:rPr>
                <w:rFonts w:ascii="Calibri Light"/>
                <w:b w:val="0"/>
                <w:sz w:val="26"/>
              </w:rPr>
            </w:pPr>
            <w:r>
              <w:rPr>
                <w:rFonts w:ascii="Calibri Light"/>
                <w:b w:val="0"/>
                <w:color w:val="1C3D94"/>
                <w:sz w:val="26"/>
              </w:rPr>
              <w:t>KS2</w:t>
            </w:r>
          </w:p>
        </w:tc>
      </w:tr>
      <w:tr>
        <w:trPr>
          <w:trHeight w:val="2947" w:hRule="atLeast"/>
        </w:trPr>
        <w:tc>
          <w:tcPr>
            <w:tcW w:w="1023" w:type="dxa"/>
            <w:tcBorders>
              <w:left w:val="single" w:sz="4" w:space="0" w:color="000000"/>
              <w:bottom w:val="single" w:sz="4" w:space="0" w:color="000000"/>
              <w:right w:val="single" w:sz="4" w:space="0" w:color="000000"/>
            </w:tcBorders>
            <w:shd w:val="clear" w:color="auto" w:fill="BEE3FF"/>
            <w:textDirection w:val="btLr"/>
          </w:tcPr>
          <w:p>
            <w:pPr>
              <w:pStyle w:val="TableParagraph"/>
              <w:spacing w:before="8"/>
              <w:ind w:left="0"/>
              <w:rPr>
                <w:rFonts w:ascii="Calibri Light"/>
                <w:b w:val="0"/>
                <w:sz w:val="30"/>
              </w:rPr>
            </w:pPr>
          </w:p>
          <w:p>
            <w:pPr>
              <w:pStyle w:val="TableParagraph"/>
              <w:ind w:left="851"/>
              <w:rPr>
                <w:rFonts w:ascii="Calibri"/>
                <w:sz w:val="22"/>
              </w:rPr>
            </w:pPr>
            <w:r>
              <w:rPr>
                <w:rFonts w:ascii="Calibri"/>
                <w:sz w:val="22"/>
              </w:rPr>
              <w:t>Life cycles and fertility</w:t>
            </w:r>
          </w:p>
        </w:tc>
        <w:tc>
          <w:tcPr>
            <w:tcW w:w="6625" w:type="dxa"/>
            <w:tcBorders>
              <w:left w:val="single" w:sz="4" w:space="0" w:color="000000"/>
              <w:bottom w:val="single" w:sz="4" w:space="0" w:color="000000"/>
              <w:right w:val="single" w:sz="4" w:space="0" w:color="000000"/>
            </w:tcBorders>
          </w:tcPr>
          <w:p>
            <w:pPr>
              <w:pStyle w:val="TableParagraph"/>
              <w:spacing w:line="255" w:lineRule="exact"/>
              <w:ind w:left="108"/>
              <w:rPr>
                <w:rFonts w:ascii="Calibri"/>
                <w:b/>
                <w:sz w:val="22"/>
              </w:rPr>
            </w:pPr>
            <w:r>
              <w:rPr>
                <w:rFonts w:ascii="Calibri"/>
                <w:b/>
                <w:sz w:val="22"/>
              </w:rPr>
              <w:t>Pupils should be taught:</w:t>
            </w:r>
          </w:p>
          <w:p>
            <w:pPr>
              <w:pStyle w:val="TableParagraph"/>
              <w:ind w:left="108"/>
              <w:rPr>
                <w:rFonts w:ascii="Calibri"/>
                <w:b/>
                <w:sz w:val="22"/>
              </w:rPr>
            </w:pPr>
            <w:r>
              <w:rPr>
                <w:rFonts w:ascii="Calibri"/>
                <w:b/>
                <w:sz w:val="22"/>
              </w:rPr>
              <w:t>Life cycles</w:t>
            </w:r>
          </w:p>
          <w:p>
            <w:pPr>
              <w:pStyle w:val="TableParagraph"/>
              <w:ind w:left="108"/>
              <w:rPr>
                <w:rFonts w:ascii="Calibri"/>
                <w:sz w:val="22"/>
              </w:rPr>
            </w:pPr>
            <w:r>
              <w:rPr>
                <w:rFonts w:ascii="Calibri"/>
                <w:sz w:val="22"/>
              </w:rPr>
              <w:t>1.1.5.1. That there are life stages from birth to death</w:t>
            </w:r>
          </w:p>
        </w:tc>
        <w:tc>
          <w:tcPr>
            <w:tcW w:w="6623" w:type="dxa"/>
            <w:tcBorders>
              <w:left w:val="single" w:sz="4" w:space="0" w:color="000000"/>
              <w:bottom w:val="single" w:sz="4" w:space="0" w:color="000000"/>
              <w:right w:val="single" w:sz="4" w:space="0" w:color="000000"/>
            </w:tcBorders>
          </w:tcPr>
          <w:p>
            <w:pPr>
              <w:pStyle w:val="TableParagraph"/>
              <w:spacing w:line="255" w:lineRule="exact"/>
              <w:ind w:left="105"/>
              <w:rPr>
                <w:rFonts w:ascii="Calibri"/>
                <w:b/>
                <w:sz w:val="22"/>
              </w:rPr>
            </w:pPr>
            <w:r>
              <w:rPr>
                <w:rFonts w:ascii="Calibri"/>
                <w:b/>
                <w:sz w:val="22"/>
              </w:rPr>
              <w:t>Pupils should be taught:</w:t>
            </w:r>
          </w:p>
          <w:p>
            <w:pPr>
              <w:pStyle w:val="TableParagraph"/>
              <w:ind w:left="105"/>
              <w:rPr>
                <w:rFonts w:ascii="Calibri"/>
                <w:b/>
                <w:sz w:val="22"/>
              </w:rPr>
            </w:pPr>
            <w:r>
              <w:rPr>
                <w:rFonts w:ascii="Calibri"/>
                <w:b/>
                <w:sz w:val="22"/>
              </w:rPr>
              <w:t>Life cycles</w:t>
            </w:r>
          </w:p>
          <w:p>
            <w:pPr>
              <w:pStyle w:val="TableParagraph"/>
              <w:numPr>
                <w:ilvl w:val="3"/>
                <w:numId w:val="65"/>
              </w:numPr>
              <w:tabs>
                <w:tab w:pos="958" w:val="left" w:leader="none"/>
              </w:tabs>
              <w:spacing w:line="240" w:lineRule="auto" w:before="0" w:after="0"/>
              <w:ind w:left="957" w:right="0" w:hanging="853"/>
              <w:jc w:val="left"/>
              <w:rPr>
                <w:rFonts w:ascii="Calibri" w:hAnsi="Calibri"/>
                <w:sz w:val="22"/>
              </w:rPr>
            </w:pPr>
            <w:r>
              <w:rPr>
                <w:rFonts w:ascii="Calibri" w:hAnsi="Calibri"/>
                <w:sz w:val="22"/>
              </w:rPr>
              <w:t>How a baby grows and develops in its mother’s</w:t>
            </w:r>
            <w:r>
              <w:rPr>
                <w:rFonts w:ascii="Calibri" w:hAnsi="Calibri"/>
                <w:spacing w:val="-11"/>
                <w:sz w:val="22"/>
              </w:rPr>
              <w:t> </w:t>
            </w:r>
            <w:r>
              <w:rPr>
                <w:rFonts w:ascii="Calibri" w:hAnsi="Calibri"/>
                <w:sz w:val="22"/>
              </w:rPr>
              <w:t>womb</w:t>
            </w:r>
          </w:p>
          <w:p>
            <w:pPr>
              <w:pStyle w:val="TableParagraph"/>
              <w:numPr>
                <w:ilvl w:val="3"/>
                <w:numId w:val="65"/>
              </w:numPr>
              <w:tabs>
                <w:tab w:pos="958" w:val="left" w:leader="none"/>
              </w:tabs>
              <w:spacing w:line="240" w:lineRule="auto" w:before="0" w:after="0"/>
              <w:ind w:left="957" w:right="540" w:hanging="852"/>
              <w:jc w:val="left"/>
              <w:rPr>
                <w:rFonts w:ascii="Calibri" w:hAnsi="Calibri"/>
                <w:sz w:val="22"/>
              </w:rPr>
            </w:pPr>
            <w:r>
              <w:rPr>
                <w:rFonts w:ascii="Calibri" w:hAnsi="Calibri"/>
                <w:sz w:val="22"/>
              </w:rPr>
              <w:t>To recognise the differences that occur at each stage of a human being’s development (including childhood, adolescence, adulthood, old</w:t>
            </w:r>
            <w:r>
              <w:rPr>
                <w:rFonts w:ascii="Calibri" w:hAnsi="Calibri"/>
                <w:spacing w:val="-5"/>
                <w:sz w:val="22"/>
              </w:rPr>
              <w:t> </w:t>
            </w:r>
            <w:r>
              <w:rPr>
                <w:rFonts w:ascii="Calibri" w:hAnsi="Calibri"/>
                <w:sz w:val="22"/>
              </w:rPr>
              <w:t>age)</w:t>
            </w:r>
          </w:p>
          <w:p>
            <w:pPr>
              <w:pStyle w:val="TableParagraph"/>
              <w:spacing w:line="267" w:lineRule="exact"/>
              <w:ind w:left="105"/>
              <w:rPr>
                <w:rFonts w:ascii="Calibri"/>
                <w:b/>
                <w:sz w:val="22"/>
              </w:rPr>
            </w:pPr>
            <w:r>
              <w:rPr>
                <w:rFonts w:ascii="Calibri"/>
                <w:b/>
                <w:sz w:val="22"/>
              </w:rPr>
              <w:t>Fertility</w:t>
            </w:r>
          </w:p>
          <w:p>
            <w:pPr>
              <w:pStyle w:val="TableParagraph"/>
              <w:numPr>
                <w:ilvl w:val="3"/>
                <w:numId w:val="65"/>
              </w:numPr>
              <w:tabs>
                <w:tab w:pos="958" w:val="left" w:leader="none"/>
              </w:tabs>
              <w:spacing w:line="240" w:lineRule="auto" w:before="1" w:after="0"/>
              <w:ind w:left="957" w:right="0" w:hanging="853"/>
              <w:jc w:val="left"/>
              <w:rPr>
                <w:rFonts w:ascii="Calibri"/>
                <w:sz w:val="22"/>
              </w:rPr>
            </w:pPr>
            <w:r>
              <w:rPr>
                <w:rFonts w:ascii="Calibri"/>
                <w:sz w:val="22"/>
              </w:rPr>
              <w:t>The nature and role of menstruation in the fertility</w:t>
            </w:r>
            <w:r>
              <w:rPr>
                <w:rFonts w:ascii="Calibri"/>
                <w:spacing w:val="-15"/>
                <w:sz w:val="22"/>
              </w:rPr>
              <w:t> </w:t>
            </w:r>
            <w:r>
              <w:rPr>
                <w:rFonts w:ascii="Calibri"/>
                <w:sz w:val="22"/>
              </w:rPr>
              <w:t>cycle</w:t>
            </w:r>
          </w:p>
          <w:p>
            <w:pPr>
              <w:pStyle w:val="TableParagraph"/>
              <w:numPr>
                <w:ilvl w:val="3"/>
                <w:numId w:val="65"/>
              </w:numPr>
              <w:tabs>
                <w:tab w:pos="958" w:val="left" w:leader="none"/>
              </w:tabs>
              <w:spacing w:line="240" w:lineRule="auto" w:before="0" w:after="0"/>
              <w:ind w:left="957" w:right="656" w:hanging="852"/>
              <w:jc w:val="left"/>
              <w:rPr>
                <w:rFonts w:ascii="Calibri"/>
                <w:sz w:val="22"/>
              </w:rPr>
            </w:pPr>
            <w:r>
              <w:rPr>
                <w:rFonts w:ascii="Calibri"/>
                <w:sz w:val="22"/>
              </w:rPr>
              <w:t>How human life is conceived in the womb, including the language of sperm and</w:t>
            </w:r>
            <w:r>
              <w:rPr>
                <w:rFonts w:ascii="Calibri"/>
                <w:spacing w:val="-3"/>
                <w:sz w:val="22"/>
              </w:rPr>
              <w:t> </w:t>
            </w:r>
            <w:r>
              <w:rPr>
                <w:rFonts w:ascii="Calibri"/>
                <w:sz w:val="22"/>
              </w:rPr>
              <w:t>ova</w:t>
            </w:r>
          </w:p>
        </w:tc>
      </w:tr>
    </w:tbl>
    <w:p>
      <w:pPr>
        <w:spacing w:after="0" w:line="240" w:lineRule="auto"/>
        <w:jc w:val="left"/>
        <w:rPr>
          <w:rFonts w:ascii="Calibri"/>
          <w:sz w:val="22"/>
        </w:rPr>
        <w:sectPr>
          <w:headerReference w:type="default" r:id="rId104"/>
          <w:footerReference w:type="default" r:id="rId105"/>
          <w:pgSz w:w="16840" w:h="11910" w:orient="landscape"/>
          <w:pgMar w:header="0" w:footer="666" w:top="1100" w:bottom="860" w:left="1000" w:right="1320"/>
          <w:pgNumType w:start="5"/>
        </w:sectPr>
      </w:pPr>
    </w:p>
    <w:p>
      <w:pPr>
        <w:spacing w:before="27"/>
        <w:ind w:left="440" w:right="0" w:firstLine="0"/>
        <w:jc w:val="left"/>
        <w:rPr>
          <w:rFonts w:ascii="Calibri Light"/>
          <w:b w:val="0"/>
          <w:sz w:val="32"/>
        </w:rPr>
      </w:pPr>
      <w:r>
        <w:rPr>
          <w:rFonts w:ascii="Calibri Light"/>
          <w:b w:val="0"/>
          <w:color w:val="1C3D94"/>
          <w:sz w:val="32"/>
        </w:rPr>
        <w:t>Theme 2: Created to love others</w:t>
      </w:r>
    </w:p>
    <w:p>
      <w:pPr>
        <w:pStyle w:val="BodyText"/>
        <w:spacing w:before="3"/>
        <w:rPr>
          <w:rFonts w:ascii="Calibri Light"/>
          <w:b w:val="0"/>
          <w:sz w:val="10"/>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3"/>
        <w:gridCol w:w="6625"/>
        <w:gridCol w:w="6623"/>
      </w:tblGrid>
      <w:tr>
        <w:trPr>
          <w:trHeight w:val="263" w:hRule="atLeast"/>
        </w:trPr>
        <w:tc>
          <w:tcPr>
            <w:tcW w:w="1023" w:type="dxa"/>
            <w:tcBorders>
              <w:top w:val="nil"/>
              <w:left w:val="nil"/>
              <w:right w:val="nil"/>
            </w:tcBorders>
          </w:tcPr>
          <w:p>
            <w:pPr>
              <w:pStyle w:val="TableParagraph"/>
              <w:ind w:left="0"/>
              <w:rPr>
                <w:rFonts w:ascii="Times New Roman"/>
                <w:sz w:val="18"/>
              </w:rPr>
            </w:pPr>
          </w:p>
        </w:tc>
        <w:tc>
          <w:tcPr>
            <w:tcW w:w="6625" w:type="dxa"/>
            <w:tcBorders>
              <w:top w:val="nil"/>
              <w:left w:val="nil"/>
              <w:right w:val="nil"/>
            </w:tcBorders>
          </w:tcPr>
          <w:p>
            <w:pPr>
              <w:pStyle w:val="TableParagraph"/>
              <w:spacing w:line="244" w:lineRule="exact"/>
              <w:ind w:left="117"/>
              <w:rPr>
                <w:rFonts w:ascii="Calibri Light"/>
                <w:b w:val="0"/>
                <w:sz w:val="26"/>
              </w:rPr>
            </w:pPr>
            <w:r>
              <w:rPr>
                <w:rFonts w:ascii="Calibri Light"/>
                <w:b w:val="0"/>
                <w:color w:val="1C3D94"/>
                <w:sz w:val="26"/>
              </w:rPr>
              <w:t>EYFS &amp; KS1</w:t>
            </w:r>
          </w:p>
        </w:tc>
        <w:tc>
          <w:tcPr>
            <w:tcW w:w="6623" w:type="dxa"/>
            <w:tcBorders>
              <w:top w:val="nil"/>
              <w:left w:val="nil"/>
              <w:right w:val="nil"/>
            </w:tcBorders>
          </w:tcPr>
          <w:p>
            <w:pPr>
              <w:pStyle w:val="TableParagraph"/>
              <w:spacing w:line="244" w:lineRule="exact"/>
              <w:ind w:left="115"/>
              <w:rPr>
                <w:rFonts w:ascii="Calibri Light"/>
                <w:b w:val="0"/>
                <w:sz w:val="26"/>
              </w:rPr>
            </w:pPr>
            <w:r>
              <w:rPr>
                <w:rFonts w:ascii="Calibri Light"/>
                <w:b w:val="0"/>
                <w:color w:val="1C3D94"/>
                <w:sz w:val="26"/>
              </w:rPr>
              <w:t>KS2</w:t>
            </w:r>
          </w:p>
        </w:tc>
      </w:tr>
      <w:tr>
        <w:trPr>
          <w:trHeight w:val="2687" w:hRule="atLeast"/>
        </w:trPr>
        <w:tc>
          <w:tcPr>
            <w:tcW w:w="1023" w:type="dxa"/>
            <w:shd w:val="clear" w:color="auto" w:fill="FFCCCC"/>
            <w:textDirection w:val="btLr"/>
          </w:tcPr>
          <w:p>
            <w:pPr>
              <w:pStyle w:val="TableParagraph"/>
              <w:spacing w:before="8"/>
              <w:ind w:left="0"/>
              <w:rPr>
                <w:rFonts w:ascii="Calibri Light"/>
                <w:b w:val="0"/>
                <w:sz w:val="30"/>
              </w:rPr>
            </w:pPr>
          </w:p>
          <w:p>
            <w:pPr>
              <w:pStyle w:val="TableParagraph"/>
              <w:ind w:left="887"/>
              <w:rPr>
                <w:rFonts w:ascii="Calibri"/>
                <w:sz w:val="22"/>
              </w:rPr>
            </w:pPr>
            <w:r>
              <w:rPr>
                <w:rFonts w:ascii="Calibri"/>
                <w:sz w:val="22"/>
              </w:rPr>
              <w:t>Education in virtue</w:t>
            </w:r>
          </w:p>
        </w:tc>
        <w:tc>
          <w:tcPr>
            <w:tcW w:w="6625" w:type="dxa"/>
          </w:tcPr>
          <w:p>
            <w:pPr>
              <w:pStyle w:val="TableParagraph"/>
              <w:spacing w:line="267" w:lineRule="exact"/>
              <w:ind w:left="107"/>
              <w:rPr>
                <w:rFonts w:ascii="Calibri"/>
                <w:b/>
                <w:sz w:val="22"/>
              </w:rPr>
            </w:pPr>
            <w:r>
              <w:rPr>
                <w:rFonts w:ascii="Calibri"/>
                <w:b/>
                <w:sz w:val="22"/>
              </w:rPr>
              <w:t>In a Catholic school, pupils are growing to be:</w:t>
            </w:r>
          </w:p>
          <w:p>
            <w:pPr>
              <w:pStyle w:val="TableParagraph"/>
              <w:numPr>
                <w:ilvl w:val="3"/>
                <w:numId w:val="66"/>
              </w:numPr>
              <w:tabs>
                <w:tab w:pos="960" w:val="left" w:leader="none"/>
              </w:tabs>
              <w:spacing w:line="240" w:lineRule="auto" w:before="0" w:after="0"/>
              <w:ind w:left="960" w:right="0" w:hanging="853"/>
              <w:jc w:val="left"/>
              <w:rPr>
                <w:rFonts w:ascii="Calibri"/>
                <w:sz w:val="22"/>
              </w:rPr>
            </w:pPr>
            <w:r>
              <w:rPr>
                <w:rFonts w:ascii="Calibri"/>
                <w:sz w:val="22"/>
              </w:rPr>
              <w:t>Friendly, able to make and keep</w:t>
            </w:r>
            <w:r>
              <w:rPr>
                <w:rFonts w:ascii="Calibri"/>
                <w:spacing w:val="-7"/>
                <w:sz w:val="22"/>
              </w:rPr>
              <w:t> </w:t>
            </w:r>
            <w:r>
              <w:rPr>
                <w:rFonts w:ascii="Calibri"/>
                <w:sz w:val="22"/>
              </w:rPr>
              <w:t>friends</w:t>
            </w:r>
          </w:p>
          <w:p>
            <w:pPr>
              <w:pStyle w:val="TableParagraph"/>
              <w:numPr>
                <w:ilvl w:val="3"/>
                <w:numId w:val="66"/>
              </w:numPr>
              <w:tabs>
                <w:tab w:pos="960" w:val="left" w:leader="none"/>
              </w:tabs>
              <w:spacing w:line="237" w:lineRule="auto" w:before="2" w:after="0"/>
              <w:ind w:left="960" w:right="161" w:hanging="852"/>
              <w:jc w:val="left"/>
              <w:rPr>
                <w:rFonts w:ascii="Calibri"/>
                <w:sz w:val="22"/>
              </w:rPr>
            </w:pPr>
            <w:r>
              <w:rPr>
                <w:rFonts w:ascii="Calibri"/>
                <w:sz w:val="22"/>
              </w:rPr>
              <w:t>Caring, attentive to the needs of others and generous in their responses</w:t>
            </w:r>
          </w:p>
          <w:p>
            <w:pPr>
              <w:pStyle w:val="TableParagraph"/>
              <w:numPr>
                <w:ilvl w:val="3"/>
                <w:numId w:val="66"/>
              </w:numPr>
              <w:tabs>
                <w:tab w:pos="960" w:val="left" w:leader="none"/>
              </w:tabs>
              <w:spacing w:line="240" w:lineRule="auto" w:before="2" w:after="0"/>
              <w:ind w:left="960" w:right="258" w:hanging="852"/>
              <w:jc w:val="left"/>
              <w:rPr>
                <w:rFonts w:ascii="Calibri"/>
                <w:sz w:val="22"/>
              </w:rPr>
            </w:pPr>
            <w:r>
              <w:rPr>
                <w:rFonts w:ascii="Calibri"/>
                <w:sz w:val="22"/>
              </w:rPr>
              <w:t>Respectful of others, their uniqueness, their wants and their needs</w:t>
            </w:r>
          </w:p>
          <w:p>
            <w:pPr>
              <w:pStyle w:val="TableParagraph"/>
              <w:numPr>
                <w:ilvl w:val="3"/>
                <w:numId w:val="66"/>
              </w:numPr>
              <w:tabs>
                <w:tab w:pos="960" w:val="left" w:leader="none"/>
              </w:tabs>
              <w:spacing w:line="240" w:lineRule="auto" w:before="1" w:after="0"/>
              <w:ind w:left="960" w:right="615" w:hanging="852"/>
              <w:jc w:val="left"/>
              <w:rPr>
                <w:rFonts w:ascii="Calibri"/>
                <w:sz w:val="22"/>
              </w:rPr>
            </w:pPr>
            <w:r>
              <w:rPr>
                <w:rFonts w:ascii="Calibri"/>
                <w:sz w:val="22"/>
              </w:rPr>
              <w:t>Forgiving, able to say sorry and not hold grudges against those who have hurt</w:t>
            </w:r>
            <w:r>
              <w:rPr>
                <w:rFonts w:ascii="Calibri"/>
                <w:spacing w:val="-3"/>
                <w:sz w:val="22"/>
              </w:rPr>
              <w:t> </w:t>
            </w:r>
            <w:r>
              <w:rPr>
                <w:rFonts w:ascii="Calibri"/>
                <w:sz w:val="22"/>
              </w:rPr>
              <w:t>them</w:t>
            </w:r>
          </w:p>
          <w:p>
            <w:pPr>
              <w:pStyle w:val="TableParagraph"/>
              <w:numPr>
                <w:ilvl w:val="3"/>
                <w:numId w:val="66"/>
              </w:numPr>
              <w:tabs>
                <w:tab w:pos="960" w:val="left" w:leader="none"/>
              </w:tabs>
              <w:spacing w:line="240" w:lineRule="auto" w:before="0" w:after="0"/>
              <w:ind w:left="960" w:right="0" w:hanging="853"/>
              <w:jc w:val="left"/>
              <w:rPr>
                <w:rFonts w:ascii="Calibri" w:hAnsi="Calibri"/>
                <w:sz w:val="22"/>
              </w:rPr>
            </w:pPr>
            <w:r>
              <w:rPr>
                <w:rFonts w:ascii="Calibri" w:hAnsi="Calibri"/>
                <w:sz w:val="22"/>
              </w:rPr>
              <w:t>Courteous, learning to say, “please” and “thank</w:t>
            </w:r>
            <w:r>
              <w:rPr>
                <w:rFonts w:ascii="Calibri" w:hAnsi="Calibri"/>
                <w:spacing w:val="-8"/>
                <w:sz w:val="22"/>
              </w:rPr>
              <w:t> </w:t>
            </w:r>
            <w:r>
              <w:rPr>
                <w:rFonts w:ascii="Calibri" w:hAnsi="Calibri"/>
                <w:sz w:val="22"/>
              </w:rPr>
              <w:t>you.”</w:t>
            </w:r>
          </w:p>
          <w:p>
            <w:pPr>
              <w:pStyle w:val="TableParagraph"/>
              <w:numPr>
                <w:ilvl w:val="3"/>
                <w:numId w:val="66"/>
              </w:numPr>
              <w:tabs>
                <w:tab w:pos="960" w:val="left" w:leader="none"/>
              </w:tabs>
              <w:spacing w:line="251" w:lineRule="exact" w:before="0" w:after="0"/>
              <w:ind w:left="960" w:right="0" w:hanging="853"/>
              <w:jc w:val="left"/>
              <w:rPr>
                <w:rFonts w:ascii="Calibri"/>
                <w:sz w:val="22"/>
              </w:rPr>
            </w:pPr>
            <w:r>
              <w:rPr>
                <w:rFonts w:ascii="Calibri"/>
                <w:sz w:val="22"/>
              </w:rPr>
              <w:t>Honest, able to tell the difference between truth and</w:t>
            </w:r>
            <w:r>
              <w:rPr>
                <w:rFonts w:ascii="Calibri"/>
                <w:spacing w:val="-13"/>
                <w:sz w:val="22"/>
              </w:rPr>
              <w:t> </w:t>
            </w:r>
            <w:r>
              <w:rPr>
                <w:rFonts w:ascii="Calibri"/>
                <w:sz w:val="22"/>
              </w:rPr>
              <w:t>lies</w:t>
            </w:r>
          </w:p>
        </w:tc>
        <w:tc>
          <w:tcPr>
            <w:tcW w:w="6623" w:type="dxa"/>
          </w:tcPr>
          <w:p>
            <w:pPr>
              <w:pStyle w:val="TableParagraph"/>
              <w:spacing w:line="267" w:lineRule="exact"/>
              <w:ind w:left="105"/>
              <w:rPr>
                <w:rFonts w:ascii="Calibri"/>
                <w:b/>
                <w:sz w:val="22"/>
              </w:rPr>
            </w:pPr>
            <w:r>
              <w:rPr>
                <w:rFonts w:ascii="Calibri"/>
                <w:b/>
                <w:sz w:val="22"/>
              </w:rPr>
              <w:t>In a Catholic school, pupils are growing to be:</w:t>
            </w:r>
          </w:p>
          <w:p>
            <w:pPr>
              <w:pStyle w:val="TableParagraph"/>
              <w:numPr>
                <w:ilvl w:val="3"/>
                <w:numId w:val="67"/>
              </w:numPr>
              <w:tabs>
                <w:tab w:pos="958" w:val="left" w:leader="none"/>
              </w:tabs>
              <w:spacing w:line="240" w:lineRule="auto" w:before="0" w:after="0"/>
              <w:ind w:left="957" w:right="0" w:hanging="853"/>
              <w:jc w:val="left"/>
              <w:rPr>
                <w:rFonts w:ascii="Calibri"/>
                <w:sz w:val="22"/>
              </w:rPr>
            </w:pPr>
            <w:r>
              <w:rPr>
                <w:rFonts w:ascii="Calibri"/>
                <w:sz w:val="22"/>
              </w:rPr>
              <w:t>Loyal, able to develop and sustain</w:t>
            </w:r>
            <w:r>
              <w:rPr>
                <w:rFonts w:ascii="Calibri"/>
                <w:spacing w:val="-10"/>
                <w:sz w:val="22"/>
              </w:rPr>
              <w:t> </w:t>
            </w:r>
            <w:r>
              <w:rPr>
                <w:rFonts w:ascii="Calibri"/>
                <w:sz w:val="22"/>
              </w:rPr>
              <w:t>friendships</w:t>
            </w:r>
          </w:p>
          <w:p>
            <w:pPr>
              <w:pStyle w:val="TableParagraph"/>
              <w:numPr>
                <w:ilvl w:val="3"/>
                <w:numId w:val="67"/>
              </w:numPr>
              <w:tabs>
                <w:tab w:pos="958" w:val="left" w:leader="none"/>
              </w:tabs>
              <w:spacing w:line="237" w:lineRule="auto" w:before="2" w:after="0"/>
              <w:ind w:left="957" w:right="682" w:hanging="852"/>
              <w:jc w:val="left"/>
              <w:rPr>
                <w:rFonts w:ascii="Calibri"/>
                <w:sz w:val="22"/>
              </w:rPr>
            </w:pPr>
            <w:r>
              <w:rPr>
                <w:rFonts w:ascii="Calibri"/>
                <w:sz w:val="22"/>
              </w:rPr>
              <w:t>Compassionate, able to empathise with the suffering of others and the generosity to help others in</w:t>
            </w:r>
            <w:r>
              <w:rPr>
                <w:rFonts w:ascii="Calibri"/>
                <w:spacing w:val="-9"/>
                <w:sz w:val="22"/>
              </w:rPr>
              <w:t> </w:t>
            </w:r>
            <w:r>
              <w:rPr>
                <w:rFonts w:ascii="Calibri"/>
                <w:sz w:val="22"/>
              </w:rPr>
              <w:t>trouble</w:t>
            </w:r>
          </w:p>
          <w:p>
            <w:pPr>
              <w:pStyle w:val="TableParagraph"/>
              <w:numPr>
                <w:ilvl w:val="3"/>
                <w:numId w:val="67"/>
              </w:numPr>
              <w:tabs>
                <w:tab w:pos="958" w:val="left" w:leader="none"/>
              </w:tabs>
              <w:spacing w:line="240" w:lineRule="auto" w:before="2" w:after="0"/>
              <w:ind w:left="957" w:right="124" w:hanging="852"/>
              <w:jc w:val="left"/>
              <w:rPr>
                <w:rFonts w:ascii="Calibri" w:hAnsi="Calibri"/>
                <w:sz w:val="22"/>
              </w:rPr>
            </w:pPr>
            <w:r>
              <w:rPr>
                <w:rFonts w:ascii="Calibri" w:hAnsi="Calibri"/>
                <w:sz w:val="22"/>
              </w:rPr>
              <w:t>Respectful, able to identify other people’s personal space and respect the ways in which they are</w:t>
            </w:r>
            <w:r>
              <w:rPr>
                <w:rFonts w:ascii="Calibri" w:hAnsi="Calibri"/>
                <w:spacing w:val="-7"/>
                <w:sz w:val="22"/>
              </w:rPr>
              <w:t> </w:t>
            </w:r>
            <w:r>
              <w:rPr>
                <w:rFonts w:ascii="Calibri" w:hAnsi="Calibri"/>
                <w:sz w:val="22"/>
              </w:rPr>
              <w:t>different</w:t>
            </w:r>
          </w:p>
          <w:p>
            <w:pPr>
              <w:pStyle w:val="TableParagraph"/>
              <w:numPr>
                <w:ilvl w:val="3"/>
                <w:numId w:val="67"/>
              </w:numPr>
              <w:tabs>
                <w:tab w:pos="958" w:val="left" w:leader="none"/>
              </w:tabs>
              <w:spacing w:line="240" w:lineRule="auto" w:before="1" w:after="0"/>
              <w:ind w:left="957" w:right="663" w:hanging="852"/>
              <w:jc w:val="left"/>
              <w:rPr>
                <w:rFonts w:ascii="Calibri"/>
                <w:sz w:val="22"/>
              </w:rPr>
            </w:pPr>
            <w:r>
              <w:rPr>
                <w:rFonts w:ascii="Calibri"/>
                <w:sz w:val="22"/>
              </w:rPr>
              <w:t>Forgiving, developing the skills to allow reconciliation in relationships</w:t>
            </w:r>
          </w:p>
          <w:p>
            <w:pPr>
              <w:pStyle w:val="TableParagraph"/>
              <w:numPr>
                <w:ilvl w:val="3"/>
                <w:numId w:val="67"/>
              </w:numPr>
              <w:tabs>
                <w:tab w:pos="958" w:val="left" w:leader="none"/>
              </w:tabs>
              <w:spacing w:line="240" w:lineRule="auto" w:before="0" w:after="0"/>
              <w:ind w:left="957" w:right="0" w:hanging="853"/>
              <w:jc w:val="left"/>
              <w:rPr>
                <w:rFonts w:ascii="Calibri"/>
                <w:sz w:val="22"/>
              </w:rPr>
            </w:pPr>
            <w:r>
              <w:rPr>
                <w:rFonts w:ascii="Calibri"/>
                <w:sz w:val="22"/>
              </w:rPr>
              <w:t>Courteous in their dealings with friends and</w:t>
            </w:r>
            <w:r>
              <w:rPr>
                <w:rFonts w:ascii="Calibri"/>
                <w:spacing w:val="-10"/>
                <w:sz w:val="22"/>
              </w:rPr>
              <w:t> </w:t>
            </w:r>
            <w:r>
              <w:rPr>
                <w:rFonts w:ascii="Calibri"/>
                <w:sz w:val="22"/>
              </w:rPr>
              <w:t>strangers</w:t>
            </w:r>
          </w:p>
          <w:p>
            <w:pPr>
              <w:pStyle w:val="TableParagraph"/>
              <w:numPr>
                <w:ilvl w:val="3"/>
                <w:numId w:val="67"/>
              </w:numPr>
              <w:tabs>
                <w:tab w:pos="958" w:val="left" w:leader="none"/>
              </w:tabs>
              <w:spacing w:line="251" w:lineRule="exact" w:before="0" w:after="0"/>
              <w:ind w:left="957" w:right="0" w:hanging="853"/>
              <w:jc w:val="left"/>
              <w:rPr>
                <w:rFonts w:ascii="Calibri"/>
                <w:sz w:val="22"/>
              </w:rPr>
            </w:pPr>
            <w:r>
              <w:rPr>
                <w:rFonts w:ascii="Calibri"/>
                <w:sz w:val="22"/>
              </w:rPr>
              <w:t>Honesty, committed to living truthfully and with</w:t>
            </w:r>
            <w:r>
              <w:rPr>
                <w:rFonts w:ascii="Calibri"/>
                <w:spacing w:val="-9"/>
                <w:sz w:val="22"/>
              </w:rPr>
              <w:t> </w:t>
            </w:r>
            <w:r>
              <w:rPr>
                <w:rFonts w:ascii="Calibri"/>
                <w:sz w:val="22"/>
              </w:rPr>
              <w:t>integrity</w:t>
            </w:r>
          </w:p>
        </w:tc>
      </w:tr>
      <w:tr>
        <w:trPr>
          <w:trHeight w:val="2553" w:hRule="atLeast"/>
        </w:trPr>
        <w:tc>
          <w:tcPr>
            <w:tcW w:w="1023" w:type="dxa"/>
            <w:tcBorders>
              <w:left w:val="single" w:sz="4" w:space="0" w:color="000000"/>
              <w:bottom w:val="single" w:sz="4" w:space="0" w:color="000000"/>
              <w:right w:val="single" w:sz="4" w:space="0" w:color="000000"/>
            </w:tcBorders>
            <w:shd w:val="clear" w:color="auto" w:fill="BBFFDA"/>
            <w:textDirection w:val="btLr"/>
          </w:tcPr>
          <w:p>
            <w:pPr>
              <w:pStyle w:val="TableParagraph"/>
              <w:spacing w:line="244" w:lineRule="auto" w:before="115"/>
              <w:ind w:left="314" w:right="109" w:hanging="27"/>
              <w:jc w:val="right"/>
              <w:rPr>
                <w:rFonts w:ascii="Calibri"/>
                <w:sz w:val="22"/>
              </w:rPr>
            </w:pPr>
            <w:r>
              <w:rPr>
                <w:rFonts w:ascii="Calibri"/>
                <w:sz w:val="22"/>
              </w:rPr>
              <w:t>Religious</w:t>
            </w:r>
            <w:r>
              <w:rPr>
                <w:rFonts w:ascii="Calibri"/>
                <w:spacing w:val="-16"/>
                <w:sz w:val="22"/>
              </w:rPr>
              <w:t> </w:t>
            </w:r>
            <w:r>
              <w:rPr>
                <w:rFonts w:ascii="Calibri"/>
                <w:sz w:val="22"/>
              </w:rPr>
              <w:t>understanding</w:t>
            </w:r>
            <w:r>
              <w:rPr>
                <w:rFonts w:ascii="Calibri"/>
                <w:w w:val="100"/>
                <w:sz w:val="22"/>
              </w:rPr>
              <w:t> </w:t>
            </w:r>
            <w:r>
              <w:rPr>
                <w:rFonts w:ascii="Calibri"/>
                <w:sz w:val="22"/>
              </w:rPr>
              <w:t>of human</w:t>
            </w:r>
            <w:r>
              <w:rPr>
                <w:rFonts w:ascii="Calibri"/>
                <w:spacing w:val="-9"/>
                <w:sz w:val="22"/>
              </w:rPr>
              <w:t> </w:t>
            </w:r>
            <w:r>
              <w:rPr>
                <w:rFonts w:ascii="Calibri"/>
                <w:sz w:val="22"/>
              </w:rPr>
              <w:t>relationships:</w:t>
            </w:r>
          </w:p>
          <w:p>
            <w:pPr>
              <w:pStyle w:val="TableParagraph"/>
              <w:spacing w:before="2"/>
              <w:ind w:left="0" w:right="108"/>
              <w:jc w:val="right"/>
              <w:rPr>
                <w:rFonts w:ascii="Calibri"/>
                <w:sz w:val="22"/>
              </w:rPr>
            </w:pPr>
            <w:r>
              <w:rPr>
                <w:rFonts w:ascii="Calibri"/>
                <w:sz w:val="22"/>
              </w:rPr>
              <w:t>loving</w:t>
            </w:r>
            <w:r>
              <w:rPr>
                <w:rFonts w:ascii="Calibri"/>
                <w:spacing w:val="1"/>
                <w:sz w:val="22"/>
              </w:rPr>
              <w:t> </w:t>
            </w:r>
            <w:r>
              <w:rPr>
                <w:rFonts w:ascii="Calibri"/>
                <w:sz w:val="22"/>
              </w:rPr>
              <w:t>others</w:t>
            </w:r>
          </w:p>
        </w:tc>
        <w:tc>
          <w:tcPr>
            <w:tcW w:w="6625" w:type="dxa"/>
            <w:tcBorders>
              <w:left w:val="single" w:sz="4" w:space="0" w:color="000000"/>
              <w:bottom w:val="single" w:sz="4" w:space="0" w:color="000000"/>
              <w:right w:val="single" w:sz="4" w:space="0" w:color="000000"/>
            </w:tcBorders>
          </w:tcPr>
          <w:p>
            <w:pPr>
              <w:pStyle w:val="TableParagraph"/>
              <w:spacing w:line="265" w:lineRule="exact"/>
              <w:ind w:left="112"/>
              <w:rPr>
                <w:rFonts w:ascii="Calibri"/>
                <w:b/>
                <w:sz w:val="22"/>
              </w:rPr>
            </w:pPr>
            <w:r>
              <w:rPr>
                <w:rFonts w:ascii="Calibri"/>
                <w:b/>
                <w:sz w:val="22"/>
              </w:rPr>
              <w:t>Pupils should be taught:</w:t>
            </w:r>
          </w:p>
          <w:p>
            <w:pPr>
              <w:pStyle w:val="TableParagraph"/>
              <w:numPr>
                <w:ilvl w:val="3"/>
                <w:numId w:val="68"/>
              </w:numPr>
              <w:tabs>
                <w:tab w:pos="965" w:val="left" w:leader="none"/>
              </w:tabs>
              <w:spacing w:line="240" w:lineRule="auto" w:before="0" w:after="0"/>
              <w:ind w:left="965" w:right="0" w:hanging="853"/>
              <w:jc w:val="left"/>
              <w:rPr>
                <w:rFonts w:ascii="Calibri" w:hAnsi="Calibri"/>
                <w:sz w:val="22"/>
              </w:rPr>
            </w:pPr>
            <w:r>
              <w:rPr>
                <w:rFonts w:ascii="Calibri" w:hAnsi="Calibri"/>
                <w:sz w:val="22"/>
              </w:rPr>
              <w:t>We are part of God’s</w:t>
            </w:r>
            <w:r>
              <w:rPr>
                <w:rFonts w:ascii="Calibri" w:hAnsi="Calibri"/>
                <w:spacing w:val="-6"/>
                <w:sz w:val="22"/>
              </w:rPr>
              <w:t> </w:t>
            </w:r>
            <w:r>
              <w:rPr>
                <w:rFonts w:ascii="Calibri" w:hAnsi="Calibri"/>
                <w:sz w:val="22"/>
              </w:rPr>
              <w:t>family</w:t>
            </w:r>
          </w:p>
          <w:p>
            <w:pPr>
              <w:pStyle w:val="TableParagraph"/>
              <w:numPr>
                <w:ilvl w:val="3"/>
                <w:numId w:val="68"/>
              </w:numPr>
              <w:tabs>
                <w:tab w:pos="965" w:val="left" w:leader="none"/>
              </w:tabs>
              <w:spacing w:line="240" w:lineRule="auto" w:before="0" w:after="0"/>
              <w:ind w:left="965" w:right="551" w:hanging="852"/>
              <w:jc w:val="left"/>
              <w:rPr>
                <w:rFonts w:ascii="Calibri"/>
                <w:sz w:val="22"/>
              </w:rPr>
            </w:pPr>
            <w:r>
              <w:rPr>
                <w:rFonts w:ascii="Calibri"/>
                <w:sz w:val="22"/>
              </w:rPr>
              <w:t>That saying sorry is important and can help mend broken friendships</w:t>
            </w:r>
          </w:p>
          <w:p>
            <w:pPr>
              <w:pStyle w:val="TableParagraph"/>
              <w:numPr>
                <w:ilvl w:val="3"/>
                <w:numId w:val="68"/>
              </w:numPr>
              <w:tabs>
                <w:tab w:pos="965" w:val="left" w:leader="none"/>
              </w:tabs>
              <w:spacing w:line="240" w:lineRule="auto" w:before="1" w:after="0"/>
              <w:ind w:left="965" w:right="0" w:hanging="853"/>
              <w:jc w:val="left"/>
              <w:rPr>
                <w:rFonts w:ascii="Calibri"/>
                <w:sz w:val="22"/>
              </w:rPr>
            </w:pPr>
            <w:r>
              <w:rPr>
                <w:rFonts w:ascii="Calibri"/>
                <w:sz w:val="22"/>
              </w:rPr>
              <w:t>Jesus cared for</w:t>
            </w:r>
            <w:r>
              <w:rPr>
                <w:rFonts w:ascii="Calibri"/>
                <w:spacing w:val="-3"/>
                <w:sz w:val="22"/>
              </w:rPr>
              <w:t> </w:t>
            </w:r>
            <w:r>
              <w:rPr>
                <w:rFonts w:ascii="Calibri"/>
                <w:sz w:val="22"/>
              </w:rPr>
              <w:t>others</w:t>
            </w:r>
          </w:p>
          <w:p>
            <w:pPr>
              <w:pStyle w:val="TableParagraph"/>
              <w:numPr>
                <w:ilvl w:val="3"/>
                <w:numId w:val="68"/>
              </w:numPr>
              <w:tabs>
                <w:tab w:pos="965" w:val="left" w:leader="none"/>
              </w:tabs>
              <w:spacing w:line="240" w:lineRule="auto" w:before="0" w:after="0"/>
              <w:ind w:left="965" w:right="116" w:hanging="852"/>
              <w:jc w:val="left"/>
              <w:rPr>
                <w:rFonts w:ascii="Calibri"/>
                <w:sz w:val="22"/>
              </w:rPr>
            </w:pPr>
            <w:r>
              <w:rPr>
                <w:rFonts w:ascii="Calibri"/>
                <w:sz w:val="22"/>
              </w:rPr>
              <w:t>That we should love other people in the same way Jesus loves us</w:t>
            </w:r>
          </w:p>
        </w:tc>
        <w:tc>
          <w:tcPr>
            <w:tcW w:w="6623" w:type="dxa"/>
            <w:tcBorders>
              <w:left w:val="single" w:sz="4" w:space="0" w:color="000000"/>
              <w:bottom w:val="single" w:sz="4" w:space="0" w:color="000000"/>
              <w:right w:val="single" w:sz="4" w:space="0" w:color="000000"/>
            </w:tcBorders>
          </w:tcPr>
          <w:p>
            <w:pPr>
              <w:pStyle w:val="TableParagraph"/>
              <w:spacing w:line="265" w:lineRule="exact"/>
              <w:ind w:left="110"/>
              <w:rPr>
                <w:rFonts w:ascii="Calibri"/>
                <w:b/>
                <w:sz w:val="22"/>
              </w:rPr>
            </w:pPr>
            <w:r>
              <w:rPr>
                <w:rFonts w:ascii="Calibri"/>
                <w:b/>
                <w:sz w:val="22"/>
              </w:rPr>
              <w:t>Pupils should be taught:</w:t>
            </w:r>
          </w:p>
          <w:p>
            <w:pPr>
              <w:pStyle w:val="TableParagraph"/>
              <w:numPr>
                <w:ilvl w:val="3"/>
                <w:numId w:val="69"/>
              </w:numPr>
              <w:tabs>
                <w:tab w:pos="963" w:val="left" w:leader="none"/>
              </w:tabs>
              <w:spacing w:line="240" w:lineRule="auto" w:before="0" w:after="0"/>
              <w:ind w:left="962" w:right="521" w:hanging="852"/>
              <w:jc w:val="left"/>
              <w:rPr>
                <w:rFonts w:ascii="Calibri"/>
                <w:sz w:val="22"/>
              </w:rPr>
            </w:pPr>
            <w:r>
              <w:rPr>
                <w:rFonts w:ascii="Calibri"/>
                <w:sz w:val="22"/>
              </w:rPr>
              <w:t>Christians belong to the Church family which includes the school, parish and</w:t>
            </w:r>
            <w:r>
              <w:rPr>
                <w:rFonts w:ascii="Calibri"/>
                <w:spacing w:val="-4"/>
                <w:sz w:val="22"/>
              </w:rPr>
              <w:t> </w:t>
            </w:r>
            <w:r>
              <w:rPr>
                <w:rFonts w:ascii="Calibri"/>
                <w:sz w:val="22"/>
              </w:rPr>
              <w:t>diocese</w:t>
            </w:r>
          </w:p>
          <w:p>
            <w:pPr>
              <w:pStyle w:val="TableParagraph"/>
              <w:numPr>
                <w:ilvl w:val="3"/>
                <w:numId w:val="69"/>
              </w:numPr>
              <w:tabs>
                <w:tab w:pos="963" w:val="left" w:leader="none"/>
              </w:tabs>
              <w:spacing w:line="240" w:lineRule="auto" w:before="1" w:after="0"/>
              <w:ind w:left="962" w:right="605" w:hanging="852"/>
              <w:jc w:val="left"/>
              <w:rPr>
                <w:rFonts w:ascii="Calibri"/>
                <w:sz w:val="22"/>
              </w:rPr>
            </w:pPr>
            <w:r>
              <w:rPr>
                <w:rFonts w:ascii="Calibri"/>
                <w:sz w:val="22"/>
              </w:rPr>
              <w:t>The importance of forgiveness and reconciliation in relationships and some of Jesus' teaching on</w:t>
            </w:r>
            <w:r>
              <w:rPr>
                <w:rFonts w:ascii="Calibri"/>
                <w:spacing w:val="-17"/>
                <w:sz w:val="22"/>
              </w:rPr>
              <w:t> </w:t>
            </w:r>
            <w:r>
              <w:rPr>
                <w:rFonts w:ascii="Calibri"/>
                <w:sz w:val="22"/>
              </w:rPr>
              <w:t>forgiveness</w:t>
            </w:r>
          </w:p>
          <w:p>
            <w:pPr>
              <w:pStyle w:val="TableParagraph"/>
              <w:numPr>
                <w:ilvl w:val="3"/>
                <w:numId w:val="69"/>
              </w:numPr>
              <w:tabs>
                <w:tab w:pos="963" w:val="left" w:leader="none"/>
              </w:tabs>
              <w:spacing w:line="240" w:lineRule="auto" w:before="0" w:after="0"/>
              <w:ind w:left="962" w:right="434" w:hanging="852"/>
              <w:jc w:val="left"/>
              <w:rPr>
                <w:rFonts w:ascii="Calibri"/>
                <w:sz w:val="22"/>
              </w:rPr>
            </w:pPr>
            <w:r>
              <w:rPr>
                <w:rFonts w:ascii="Calibri"/>
                <w:sz w:val="22"/>
              </w:rPr>
              <w:t>The sacrament of marriage involves commitment and self- giving</w:t>
            </w:r>
          </w:p>
        </w:tc>
      </w:tr>
    </w:tbl>
    <w:p>
      <w:pPr>
        <w:spacing w:after="0" w:line="240" w:lineRule="auto"/>
        <w:jc w:val="left"/>
        <w:rPr>
          <w:rFonts w:ascii="Calibri"/>
          <w:sz w:val="22"/>
        </w:rPr>
        <w:sectPr>
          <w:headerReference w:type="default" r:id="rId106"/>
          <w:footerReference w:type="default" r:id="rId107"/>
          <w:pgSz w:w="16840" w:h="11910" w:orient="landscape"/>
          <w:pgMar w:header="0" w:footer="666" w:top="1100" w:bottom="860" w:left="1000" w:right="1320"/>
          <w:pgNumType w:start="6"/>
        </w:sectPr>
      </w:pPr>
    </w:p>
    <w:p>
      <w:pPr>
        <w:pStyle w:val="BodyText"/>
        <w:spacing w:before="4"/>
        <w:rPr>
          <w:rFonts w:ascii="Calibri Light"/>
          <w:b w:val="0"/>
          <w:sz w:val="2"/>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3"/>
        <w:gridCol w:w="6625"/>
        <w:gridCol w:w="6623"/>
      </w:tblGrid>
      <w:tr>
        <w:trPr>
          <w:trHeight w:val="4565" w:hRule="atLeast"/>
        </w:trPr>
        <w:tc>
          <w:tcPr>
            <w:tcW w:w="1023" w:type="dxa"/>
            <w:shd w:val="clear" w:color="auto" w:fill="FCE4CC"/>
            <w:textDirection w:val="btLr"/>
          </w:tcPr>
          <w:p>
            <w:pPr>
              <w:pStyle w:val="TableParagraph"/>
              <w:spacing w:before="7"/>
              <w:ind w:left="0"/>
              <w:rPr>
                <w:rFonts w:ascii="Calibri Light"/>
                <w:b w:val="0"/>
                <w:sz w:val="30"/>
              </w:rPr>
            </w:pPr>
          </w:p>
          <w:p>
            <w:pPr>
              <w:pStyle w:val="TableParagraph"/>
              <w:ind w:left="2433"/>
              <w:rPr>
                <w:rFonts w:ascii="Calibri"/>
                <w:sz w:val="22"/>
              </w:rPr>
            </w:pPr>
            <w:r>
              <w:rPr>
                <w:rFonts w:ascii="Calibri"/>
                <w:sz w:val="22"/>
              </w:rPr>
              <w:t>Personal Relationships</w:t>
            </w:r>
          </w:p>
        </w:tc>
        <w:tc>
          <w:tcPr>
            <w:tcW w:w="6625" w:type="dxa"/>
          </w:tcPr>
          <w:p>
            <w:pPr>
              <w:pStyle w:val="TableParagraph"/>
              <w:spacing w:line="265" w:lineRule="exact"/>
              <w:ind w:left="107"/>
              <w:rPr>
                <w:rFonts w:ascii="Calibri"/>
                <w:b/>
                <w:sz w:val="22"/>
              </w:rPr>
            </w:pPr>
            <w:r>
              <w:rPr>
                <w:rFonts w:ascii="Calibri"/>
                <w:b/>
                <w:sz w:val="22"/>
              </w:rPr>
              <w:t>Pupils should be taught:</w:t>
            </w:r>
          </w:p>
          <w:p>
            <w:pPr>
              <w:pStyle w:val="TableParagraph"/>
              <w:numPr>
                <w:ilvl w:val="3"/>
                <w:numId w:val="70"/>
              </w:numPr>
              <w:tabs>
                <w:tab w:pos="960" w:val="left" w:leader="none"/>
              </w:tabs>
              <w:spacing w:line="240" w:lineRule="auto" w:before="0" w:after="0"/>
              <w:ind w:left="959" w:right="0" w:hanging="853"/>
              <w:jc w:val="left"/>
              <w:rPr>
                <w:rFonts w:ascii="Calibri"/>
                <w:sz w:val="22"/>
              </w:rPr>
            </w:pPr>
            <w:r>
              <w:rPr>
                <w:rFonts w:ascii="Calibri"/>
                <w:sz w:val="22"/>
              </w:rPr>
              <w:t>The characteristics of positive and negative</w:t>
            </w:r>
            <w:r>
              <w:rPr>
                <w:rFonts w:ascii="Calibri"/>
                <w:spacing w:val="-6"/>
                <w:sz w:val="22"/>
              </w:rPr>
              <w:t> </w:t>
            </w:r>
            <w:r>
              <w:rPr>
                <w:rFonts w:ascii="Calibri"/>
                <w:sz w:val="22"/>
              </w:rPr>
              <w:t>relationships</w:t>
            </w:r>
          </w:p>
          <w:p>
            <w:pPr>
              <w:pStyle w:val="TableParagraph"/>
              <w:numPr>
                <w:ilvl w:val="3"/>
                <w:numId w:val="70"/>
              </w:numPr>
              <w:tabs>
                <w:tab w:pos="960" w:val="left" w:leader="none"/>
              </w:tabs>
              <w:spacing w:line="240" w:lineRule="auto" w:before="0" w:after="0"/>
              <w:ind w:left="959" w:right="502" w:hanging="852"/>
              <w:jc w:val="left"/>
              <w:rPr>
                <w:rFonts w:ascii="Calibri"/>
                <w:sz w:val="22"/>
              </w:rPr>
            </w:pPr>
            <w:r>
              <w:rPr>
                <w:rFonts w:ascii="Calibri"/>
                <w:sz w:val="22"/>
              </w:rPr>
              <w:t>To identify special people (e.g. family, carers, friends) and what makes them</w:t>
            </w:r>
            <w:r>
              <w:rPr>
                <w:rFonts w:ascii="Calibri"/>
                <w:spacing w:val="-4"/>
                <w:sz w:val="22"/>
              </w:rPr>
              <w:t> </w:t>
            </w:r>
            <w:r>
              <w:rPr>
                <w:rFonts w:ascii="Calibri"/>
                <w:sz w:val="22"/>
              </w:rPr>
              <w:t>special.</w:t>
            </w:r>
          </w:p>
          <w:p>
            <w:pPr>
              <w:pStyle w:val="TableParagraph"/>
              <w:numPr>
                <w:ilvl w:val="3"/>
                <w:numId w:val="70"/>
              </w:numPr>
              <w:tabs>
                <w:tab w:pos="960" w:val="left" w:leader="none"/>
              </w:tabs>
              <w:spacing w:line="240" w:lineRule="auto" w:before="1" w:after="0"/>
              <w:ind w:left="959" w:right="549" w:hanging="852"/>
              <w:jc w:val="left"/>
              <w:rPr>
                <w:rFonts w:ascii="Calibri"/>
                <w:sz w:val="22"/>
              </w:rPr>
            </w:pPr>
            <w:r>
              <w:rPr>
                <w:rFonts w:ascii="Calibri"/>
                <w:sz w:val="22"/>
              </w:rPr>
              <w:t>There are different family structures and these should be respected</w:t>
            </w:r>
          </w:p>
          <w:p>
            <w:pPr>
              <w:pStyle w:val="TableParagraph"/>
              <w:numPr>
                <w:ilvl w:val="3"/>
                <w:numId w:val="70"/>
              </w:numPr>
              <w:tabs>
                <w:tab w:pos="960" w:val="left" w:leader="none"/>
              </w:tabs>
              <w:spacing w:line="240" w:lineRule="auto" w:before="0" w:after="0"/>
              <w:ind w:left="959" w:right="272" w:hanging="852"/>
              <w:jc w:val="left"/>
              <w:rPr>
                <w:rFonts w:ascii="Calibri"/>
                <w:sz w:val="22"/>
              </w:rPr>
            </w:pPr>
            <w:r>
              <w:rPr>
                <w:rFonts w:ascii="Calibri"/>
                <w:sz w:val="22"/>
              </w:rPr>
              <w:t>How their behaviour affects other people and that there are appropriate and inappropriate</w:t>
            </w:r>
            <w:r>
              <w:rPr>
                <w:rFonts w:ascii="Calibri"/>
                <w:spacing w:val="-2"/>
                <w:sz w:val="22"/>
              </w:rPr>
              <w:t> </w:t>
            </w:r>
            <w:r>
              <w:rPr>
                <w:rFonts w:ascii="Calibri"/>
                <w:sz w:val="22"/>
              </w:rPr>
              <w:t>behaviours</w:t>
            </w:r>
          </w:p>
          <w:p>
            <w:pPr>
              <w:pStyle w:val="TableParagraph"/>
              <w:numPr>
                <w:ilvl w:val="3"/>
                <w:numId w:val="70"/>
              </w:numPr>
              <w:tabs>
                <w:tab w:pos="960" w:val="left" w:leader="none"/>
              </w:tabs>
              <w:spacing w:line="240" w:lineRule="auto" w:before="0" w:after="0"/>
              <w:ind w:left="959" w:right="608" w:hanging="852"/>
              <w:jc w:val="left"/>
              <w:rPr>
                <w:rFonts w:ascii="Calibri"/>
                <w:sz w:val="22"/>
              </w:rPr>
            </w:pPr>
            <w:r>
              <w:rPr>
                <w:rFonts w:ascii="Calibri"/>
                <w:sz w:val="22"/>
              </w:rPr>
              <w:t>To recognise when people are being unkind to them and others and how to</w:t>
            </w:r>
            <w:r>
              <w:rPr>
                <w:rFonts w:ascii="Calibri"/>
                <w:spacing w:val="-3"/>
                <w:sz w:val="22"/>
              </w:rPr>
              <w:t> </w:t>
            </w:r>
            <w:r>
              <w:rPr>
                <w:rFonts w:ascii="Calibri"/>
                <w:sz w:val="22"/>
              </w:rPr>
              <w:t>respond.</w:t>
            </w:r>
          </w:p>
          <w:p>
            <w:pPr>
              <w:pStyle w:val="TableParagraph"/>
              <w:numPr>
                <w:ilvl w:val="3"/>
                <w:numId w:val="70"/>
              </w:numPr>
              <w:tabs>
                <w:tab w:pos="960" w:val="left" w:leader="none"/>
              </w:tabs>
              <w:spacing w:line="240" w:lineRule="auto" w:before="0" w:after="0"/>
              <w:ind w:left="959" w:right="319" w:hanging="852"/>
              <w:jc w:val="left"/>
              <w:rPr>
                <w:rFonts w:ascii="Calibri"/>
                <w:sz w:val="22"/>
              </w:rPr>
            </w:pPr>
            <w:r>
              <w:rPr>
                <w:rFonts w:ascii="Calibri"/>
                <w:sz w:val="22"/>
              </w:rPr>
              <w:t>Different types of teasing and bullying which are wrong and unacceptable.</w:t>
            </w:r>
          </w:p>
        </w:tc>
        <w:tc>
          <w:tcPr>
            <w:tcW w:w="6623" w:type="dxa"/>
          </w:tcPr>
          <w:p>
            <w:pPr>
              <w:pStyle w:val="TableParagraph"/>
              <w:spacing w:line="265" w:lineRule="exact"/>
              <w:ind w:left="105"/>
              <w:rPr>
                <w:rFonts w:ascii="Calibri"/>
                <w:b/>
                <w:sz w:val="22"/>
              </w:rPr>
            </w:pPr>
            <w:r>
              <w:rPr>
                <w:rFonts w:ascii="Calibri"/>
                <w:b/>
                <w:sz w:val="22"/>
              </w:rPr>
              <w:t>Pupils should be taught:</w:t>
            </w:r>
          </w:p>
          <w:p>
            <w:pPr>
              <w:pStyle w:val="TableParagraph"/>
              <w:numPr>
                <w:ilvl w:val="3"/>
                <w:numId w:val="71"/>
              </w:numPr>
              <w:tabs>
                <w:tab w:pos="958" w:val="left" w:leader="none"/>
              </w:tabs>
              <w:spacing w:line="240" w:lineRule="auto" w:before="0" w:after="0"/>
              <w:ind w:left="957" w:right="296" w:hanging="852"/>
              <w:jc w:val="left"/>
              <w:rPr>
                <w:rFonts w:ascii="Calibri"/>
                <w:sz w:val="22"/>
              </w:rPr>
            </w:pPr>
            <w:r>
              <w:rPr>
                <w:rFonts w:ascii="Calibri"/>
                <w:sz w:val="22"/>
              </w:rPr>
              <w:t>How to maintain positive relationships and strategies to use when relationships go wrong.</w:t>
            </w:r>
          </w:p>
          <w:p>
            <w:pPr>
              <w:pStyle w:val="TableParagraph"/>
              <w:numPr>
                <w:ilvl w:val="3"/>
                <w:numId w:val="71"/>
              </w:numPr>
              <w:tabs>
                <w:tab w:pos="958" w:val="left" w:leader="none"/>
              </w:tabs>
              <w:spacing w:line="240" w:lineRule="auto" w:before="0" w:after="0"/>
              <w:ind w:left="957" w:right="576" w:hanging="852"/>
              <w:jc w:val="left"/>
              <w:rPr>
                <w:rFonts w:ascii="Calibri"/>
                <w:sz w:val="22"/>
              </w:rPr>
            </w:pPr>
            <w:r>
              <w:rPr>
                <w:rFonts w:ascii="Calibri"/>
                <w:sz w:val="22"/>
              </w:rPr>
              <w:t>There are different types of relationships including those between acquaintances, friends, relatives and</w:t>
            </w:r>
            <w:r>
              <w:rPr>
                <w:rFonts w:ascii="Calibri"/>
                <w:spacing w:val="-6"/>
                <w:sz w:val="22"/>
              </w:rPr>
              <w:t> </w:t>
            </w:r>
            <w:r>
              <w:rPr>
                <w:rFonts w:ascii="Calibri"/>
                <w:sz w:val="22"/>
              </w:rPr>
              <w:t>family</w:t>
            </w:r>
          </w:p>
          <w:p>
            <w:pPr>
              <w:pStyle w:val="TableParagraph"/>
              <w:numPr>
                <w:ilvl w:val="3"/>
                <w:numId w:val="71"/>
              </w:numPr>
              <w:tabs>
                <w:tab w:pos="958" w:val="left" w:leader="none"/>
              </w:tabs>
              <w:spacing w:line="237" w:lineRule="auto" w:before="3" w:after="0"/>
              <w:ind w:left="957" w:right="488" w:hanging="852"/>
              <w:jc w:val="left"/>
              <w:rPr>
                <w:rFonts w:ascii="Calibri"/>
                <w:sz w:val="22"/>
              </w:rPr>
            </w:pPr>
            <w:r>
              <w:rPr>
                <w:rFonts w:ascii="Calibri"/>
                <w:sz w:val="22"/>
              </w:rPr>
              <w:t>How to make informed choices in relationships and that choices have positive, neutral and negative</w:t>
            </w:r>
            <w:r>
              <w:rPr>
                <w:rFonts w:ascii="Calibri"/>
                <w:spacing w:val="-16"/>
                <w:sz w:val="22"/>
              </w:rPr>
              <w:t> </w:t>
            </w:r>
            <w:r>
              <w:rPr>
                <w:rFonts w:ascii="Calibri"/>
                <w:sz w:val="22"/>
              </w:rPr>
              <w:t>consequences</w:t>
            </w:r>
          </w:p>
          <w:p>
            <w:pPr>
              <w:pStyle w:val="TableParagraph"/>
              <w:numPr>
                <w:ilvl w:val="3"/>
                <w:numId w:val="71"/>
              </w:numPr>
              <w:tabs>
                <w:tab w:pos="958" w:val="left" w:leader="none"/>
              </w:tabs>
              <w:spacing w:line="240" w:lineRule="auto" w:before="1" w:after="0"/>
              <w:ind w:left="957" w:right="97" w:hanging="852"/>
              <w:jc w:val="both"/>
              <w:rPr>
                <w:rFonts w:ascii="Calibri"/>
                <w:sz w:val="22"/>
              </w:rPr>
            </w:pPr>
            <w:r>
              <w:rPr>
                <w:rFonts w:ascii="Calibri"/>
                <w:sz w:val="22"/>
              </w:rPr>
              <w:t>An</w:t>
            </w:r>
            <w:r>
              <w:rPr>
                <w:rFonts w:ascii="Calibri"/>
                <w:spacing w:val="-7"/>
                <w:sz w:val="22"/>
              </w:rPr>
              <w:t> </w:t>
            </w:r>
            <w:r>
              <w:rPr>
                <w:rFonts w:ascii="Calibri"/>
                <w:sz w:val="22"/>
              </w:rPr>
              <w:t>awareness</w:t>
            </w:r>
            <w:r>
              <w:rPr>
                <w:rFonts w:ascii="Calibri"/>
                <w:spacing w:val="-7"/>
                <w:sz w:val="22"/>
              </w:rPr>
              <w:t> </w:t>
            </w:r>
            <w:r>
              <w:rPr>
                <w:rFonts w:ascii="Calibri"/>
                <w:sz w:val="22"/>
              </w:rPr>
              <w:t>of</w:t>
            </w:r>
            <w:r>
              <w:rPr>
                <w:rFonts w:ascii="Calibri"/>
                <w:spacing w:val="-8"/>
                <w:sz w:val="22"/>
              </w:rPr>
              <w:t> </w:t>
            </w:r>
            <w:r>
              <w:rPr>
                <w:rFonts w:ascii="Calibri"/>
                <w:sz w:val="22"/>
              </w:rPr>
              <w:t>bullying</w:t>
            </w:r>
            <w:r>
              <w:rPr>
                <w:rFonts w:ascii="Calibri"/>
                <w:spacing w:val="-5"/>
                <w:sz w:val="22"/>
              </w:rPr>
              <w:t> </w:t>
            </w:r>
            <w:r>
              <w:rPr>
                <w:rFonts w:ascii="Calibri"/>
                <w:sz w:val="22"/>
              </w:rPr>
              <w:t>(including</w:t>
            </w:r>
            <w:r>
              <w:rPr>
                <w:rFonts w:ascii="Calibri"/>
                <w:spacing w:val="-6"/>
                <w:sz w:val="22"/>
              </w:rPr>
              <w:t> </w:t>
            </w:r>
            <w:r>
              <w:rPr>
                <w:rFonts w:ascii="Calibri"/>
                <w:sz w:val="22"/>
              </w:rPr>
              <w:t>cyber-bullying)</w:t>
            </w:r>
            <w:r>
              <w:rPr>
                <w:rFonts w:ascii="Calibri"/>
                <w:spacing w:val="-5"/>
                <w:sz w:val="22"/>
              </w:rPr>
              <w:t> </w:t>
            </w:r>
            <w:r>
              <w:rPr>
                <w:rFonts w:ascii="Calibri"/>
                <w:sz w:val="22"/>
              </w:rPr>
              <w:t>and</w:t>
            </w:r>
            <w:r>
              <w:rPr>
                <w:rFonts w:ascii="Calibri"/>
                <w:spacing w:val="-6"/>
                <w:sz w:val="22"/>
              </w:rPr>
              <w:t> </w:t>
            </w:r>
            <w:r>
              <w:rPr>
                <w:rFonts w:ascii="Calibri"/>
                <w:sz w:val="22"/>
              </w:rPr>
              <w:t>how</w:t>
            </w:r>
            <w:r>
              <w:rPr>
                <w:rFonts w:ascii="Calibri"/>
                <w:spacing w:val="-6"/>
                <w:sz w:val="22"/>
              </w:rPr>
              <w:t> </w:t>
            </w:r>
            <w:r>
              <w:rPr>
                <w:rFonts w:ascii="Calibri"/>
                <w:spacing w:val="-3"/>
                <w:sz w:val="22"/>
              </w:rPr>
              <w:t>to </w:t>
            </w:r>
            <w:r>
              <w:rPr>
                <w:rFonts w:ascii="Calibri"/>
                <w:sz w:val="22"/>
              </w:rPr>
              <w:t>respond</w:t>
            </w:r>
          </w:p>
          <w:p>
            <w:pPr>
              <w:pStyle w:val="TableParagraph"/>
              <w:numPr>
                <w:ilvl w:val="3"/>
                <w:numId w:val="71"/>
              </w:numPr>
              <w:tabs>
                <w:tab w:pos="958" w:val="left" w:leader="none"/>
              </w:tabs>
              <w:spacing w:line="240" w:lineRule="auto" w:before="1" w:after="0"/>
              <w:ind w:left="957" w:right="99" w:hanging="852"/>
              <w:jc w:val="both"/>
              <w:rPr>
                <w:rFonts w:ascii="Calibri"/>
                <w:sz w:val="22"/>
              </w:rPr>
            </w:pPr>
            <w:r>
              <w:rPr>
                <w:rFonts w:ascii="Calibri"/>
                <w:sz w:val="22"/>
              </w:rPr>
              <w:t>About harassment and exploitation in relationships, including physical, emotional and sexual abuse and how to</w:t>
            </w:r>
            <w:r>
              <w:rPr>
                <w:rFonts w:ascii="Calibri"/>
                <w:spacing w:val="-11"/>
                <w:sz w:val="22"/>
              </w:rPr>
              <w:t> </w:t>
            </w:r>
            <w:r>
              <w:rPr>
                <w:rFonts w:ascii="Calibri"/>
                <w:sz w:val="22"/>
              </w:rPr>
              <w:t>respond</w:t>
            </w:r>
          </w:p>
          <w:p>
            <w:pPr>
              <w:pStyle w:val="TableParagraph"/>
              <w:numPr>
                <w:ilvl w:val="3"/>
                <w:numId w:val="71"/>
              </w:numPr>
              <w:tabs>
                <w:tab w:pos="958" w:val="left" w:leader="none"/>
              </w:tabs>
              <w:spacing w:line="240" w:lineRule="auto" w:before="1" w:after="0"/>
              <w:ind w:left="957" w:right="111" w:hanging="852"/>
              <w:jc w:val="both"/>
              <w:rPr>
                <w:rFonts w:ascii="Calibri" w:hAnsi="Calibri"/>
                <w:sz w:val="22"/>
              </w:rPr>
            </w:pPr>
            <w:r>
              <w:rPr>
                <w:rFonts w:ascii="Calibri" w:hAnsi="Calibri"/>
                <w:sz w:val="22"/>
              </w:rPr>
              <w:t>To recognise and manage risk, to develop resilience and learn how to cope with “dares” and other ways in which people can be</w:t>
            </w:r>
            <w:r>
              <w:rPr>
                <w:rFonts w:ascii="Calibri" w:hAnsi="Calibri"/>
                <w:spacing w:val="1"/>
                <w:sz w:val="22"/>
              </w:rPr>
              <w:t> </w:t>
            </w:r>
            <w:r>
              <w:rPr>
                <w:rFonts w:ascii="Calibri" w:hAnsi="Calibri"/>
                <w:sz w:val="22"/>
              </w:rPr>
              <w:t>pressurized</w:t>
            </w:r>
          </w:p>
          <w:p>
            <w:pPr>
              <w:pStyle w:val="TableParagraph"/>
              <w:numPr>
                <w:ilvl w:val="3"/>
                <w:numId w:val="71"/>
              </w:numPr>
              <w:tabs>
                <w:tab w:pos="958" w:val="left" w:leader="none"/>
              </w:tabs>
              <w:spacing w:line="240" w:lineRule="auto" w:before="1" w:after="0"/>
              <w:ind w:left="957" w:right="97" w:hanging="852"/>
              <w:jc w:val="both"/>
              <w:rPr>
                <w:rFonts w:ascii="Calibri"/>
                <w:sz w:val="22"/>
              </w:rPr>
            </w:pPr>
            <w:r>
              <w:rPr>
                <w:rFonts w:ascii="Calibri"/>
                <w:sz w:val="22"/>
              </w:rPr>
              <w:t>About changes that can happen in life, e.g. loss, separation, divorce</w:t>
            </w:r>
            <w:r>
              <w:rPr>
                <w:rFonts w:ascii="Calibri"/>
                <w:spacing w:val="19"/>
                <w:sz w:val="22"/>
              </w:rPr>
              <w:t> </w:t>
            </w:r>
            <w:r>
              <w:rPr>
                <w:rFonts w:ascii="Calibri"/>
                <w:sz w:val="22"/>
              </w:rPr>
              <w:t>and</w:t>
            </w:r>
            <w:r>
              <w:rPr>
                <w:rFonts w:ascii="Calibri"/>
                <w:spacing w:val="21"/>
                <w:sz w:val="22"/>
              </w:rPr>
              <w:t> </w:t>
            </w:r>
            <w:r>
              <w:rPr>
                <w:rFonts w:ascii="Calibri"/>
                <w:sz w:val="22"/>
              </w:rPr>
              <w:t>bereavement</w:t>
            </w:r>
            <w:r>
              <w:rPr>
                <w:rFonts w:ascii="Calibri"/>
                <w:spacing w:val="22"/>
                <w:sz w:val="22"/>
              </w:rPr>
              <w:t> </w:t>
            </w:r>
            <w:r>
              <w:rPr>
                <w:rFonts w:ascii="Calibri"/>
                <w:sz w:val="22"/>
              </w:rPr>
              <w:t>and</w:t>
            </w:r>
            <w:r>
              <w:rPr>
                <w:rFonts w:ascii="Calibri"/>
                <w:spacing w:val="19"/>
                <w:sz w:val="22"/>
              </w:rPr>
              <w:t> </w:t>
            </w:r>
            <w:r>
              <w:rPr>
                <w:rFonts w:ascii="Calibri"/>
                <w:sz w:val="22"/>
              </w:rPr>
              <w:t>the</w:t>
            </w:r>
            <w:r>
              <w:rPr>
                <w:rFonts w:ascii="Calibri"/>
                <w:spacing w:val="20"/>
                <w:sz w:val="22"/>
              </w:rPr>
              <w:t> </w:t>
            </w:r>
            <w:r>
              <w:rPr>
                <w:rFonts w:ascii="Calibri"/>
                <w:sz w:val="22"/>
              </w:rPr>
              <w:t>emotions</w:t>
            </w:r>
            <w:r>
              <w:rPr>
                <w:rFonts w:ascii="Calibri"/>
                <w:spacing w:val="20"/>
                <w:sz w:val="22"/>
              </w:rPr>
              <w:t> </w:t>
            </w:r>
            <w:r>
              <w:rPr>
                <w:rFonts w:ascii="Calibri"/>
                <w:sz w:val="22"/>
              </w:rPr>
              <w:t>that</w:t>
            </w:r>
            <w:r>
              <w:rPr>
                <w:rFonts w:ascii="Calibri"/>
                <w:spacing w:val="21"/>
                <w:sz w:val="22"/>
              </w:rPr>
              <w:t> </w:t>
            </w:r>
            <w:r>
              <w:rPr>
                <w:rFonts w:ascii="Calibri"/>
                <w:sz w:val="22"/>
              </w:rPr>
              <w:t>can</w:t>
            </w:r>
          </w:p>
          <w:p>
            <w:pPr>
              <w:pStyle w:val="TableParagraph"/>
              <w:spacing w:line="250" w:lineRule="exact"/>
              <w:ind w:left="957"/>
              <w:jc w:val="both"/>
              <w:rPr>
                <w:rFonts w:ascii="Calibri"/>
                <w:sz w:val="22"/>
              </w:rPr>
            </w:pPr>
            <w:r>
              <w:rPr>
                <w:rFonts w:ascii="Calibri"/>
                <w:sz w:val="22"/>
              </w:rPr>
              <w:t>accompany these changes.</w:t>
            </w:r>
          </w:p>
        </w:tc>
      </w:tr>
      <w:tr>
        <w:trPr>
          <w:trHeight w:val="4030" w:hRule="atLeast"/>
        </w:trPr>
        <w:tc>
          <w:tcPr>
            <w:tcW w:w="1023" w:type="dxa"/>
            <w:shd w:val="clear" w:color="auto" w:fill="FCE4CC"/>
            <w:textDirection w:val="btLr"/>
          </w:tcPr>
          <w:p>
            <w:pPr>
              <w:pStyle w:val="TableParagraph"/>
              <w:spacing w:before="7"/>
              <w:ind w:left="0"/>
              <w:rPr>
                <w:rFonts w:ascii="Calibri Light"/>
                <w:b w:val="0"/>
                <w:sz w:val="30"/>
              </w:rPr>
            </w:pPr>
          </w:p>
          <w:p>
            <w:pPr>
              <w:pStyle w:val="TableParagraph"/>
              <w:ind w:left="148"/>
              <w:rPr>
                <w:rFonts w:ascii="Calibri"/>
                <w:sz w:val="22"/>
              </w:rPr>
            </w:pPr>
            <w:r>
              <w:rPr>
                <w:rFonts w:ascii="Calibri"/>
                <w:sz w:val="22"/>
              </w:rPr>
              <w:t>Keeping safe and people who can help me</w:t>
            </w:r>
          </w:p>
        </w:tc>
        <w:tc>
          <w:tcPr>
            <w:tcW w:w="6625" w:type="dxa"/>
          </w:tcPr>
          <w:p>
            <w:pPr>
              <w:pStyle w:val="TableParagraph"/>
              <w:spacing w:line="267" w:lineRule="exact"/>
              <w:ind w:left="107"/>
              <w:rPr>
                <w:rFonts w:ascii="Calibri"/>
                <w:b/>
                <w:sz w:val="22"/>
              </w:rPr>
            </w:pPr>
            <w:r>
              <w:rPr>
                <w:rFonts w:ascii="Calibri"/>
                <w:b/>
                <w:sz w:val="22"/>
              </w:rPr>
              <w:t>Pupils should be taught:</w:t>
            </w:r>
          </w:p>
          <w:p>
            <w:pPr>
              <w:pStyle w:val="TableParagraph"/>
              <w:spacing w:line="267" w:lineRule="exact"/>
              <w:ind w:left="107"/>
              <w:rPr>
                <w:rFonts w:ascii="Calibri"/>
                <w:b/>
                <w:sz w:val="22"/>
              </w:rPr>
            </w:pPr>
            <w:r>
              <w:rPr>
                <w:rFonts w:ascii="Calibri"/>
                <w:b/>
                <w:sz w:val="22"/>
              </w:rPr>
              <w:t>Keeping safe</w:t>
            </w:r>
          </w:p>
          <w:p>
            <w:pPr>
              <w:pStyle w:val="TableParagraph"/>
              <w:numPr>
                <w:ilvl w:val="3"/>
                <w:numId w:val="72"/>
              </w:numPr>
              <w:tabs>
                <w:tab w:pos="960" w:val="left" w:leader="none"/>
              </w:tabs>
              <w:spacing w:line="240" w:lineRule="auto" w:before="0" w:after="0"/>
              <w:ind w:left="959" w:right="273" w:hanging="852"/>
              <w:jc w:val="left"/>
              <w:rPr>
                <w:rFonts w:ascii="Calibri"/>
                <w:sz w:val="22"/>
              </w:rPr>
            </w:pPr>
            <w:r>
              <w:rPr>
                <w:rFonts w:ascii="Calibri"/>
                <w:sz w:val="22"/>
              </w:rPr>
              <w:t>To recognise safe and unsafe situations and ways of keeping safe, including simple rules for keeping safe</w:t>
            </w:r>
            <w:r>
              <w:rPr>
                <w:rFonts w:ascii="Calibri"/>
                <w:spacing w:val="-11"/>
                <w:sz w:val="22"/>
              </w:rPr>
              <w:t> </w:t>
            </w:r>
            <w:r>
              <w:rPr>
                <w:rFonts w:ascii="Calibri"/>
                <w:sz w:val="22"/>
              </w:rPr>
              <w:t>online</w:t>
            </w:r>
          </w:p>
          <w:p>
            <w:pPr>
              <w:pStyle w:val="TableParagraph"/>
              <w:numPr>
                <w:ilvl w:val="3"/>
                <w:numId w:val="72"/>
              </w:numPr>
              <w:tabs>
                <w:tab w:pos="960" w:val="left" w:leader="none"/>
              </w:tabs>
              <w:spacing w:line="240" w:lineRule="auto" w:before="0" w:after="0"/>
              <w:ind w:left="959" w:right="621" w:hanging="852"/>
              <w:jc w:val="left"/>
              <w:rPr>
                <w:rFonts w:ascii="Calibri"/>
                <w:sz w:val="22"/>
              </w:rPr>
            </w:pPr>
            <w:r>
              <w:rPr>
                <w:rFonts w:ascii="Calibri"/>
                <w:sz w:val="22"/>
              </w:rPr>
              <w:t>To use simple rules for resisting pressure when they feel unsafe or</w:t>
            </w:r>
            <w:r>
              <w:rPr>
                <w:rFonts w:ascii="Calibri"/>
                <w:spacing w:val="-4"/>
                <w:sz w:val="22"/>
              </w:rPr>
              <w:t> </w:t>
            </w:r>
            <w:r>
              <w:rPr>
                <w:rFonts w:ascii="Calibri"/>
                <w:sz w:val="22"/>
              </w:rPr>
              <w:t>uncomfortable</w:t>
            </w:r>
          </w:p>
          <w:p>
            <w:pPr>
              <w:pStyle w:val="TableParagraph"/>
              <w:numPr>
                <w:ilvl w:val="3"/>
                <w:numId w:val="72"/>
              </w:numPr>
              <w:tabs>
                <w:tab w:pos="960" w:val="left" w:leader="none"/>
              </w:tabs>
              <w:spacing w:line="240" w:lineRule="auto" w:before="1" w:after="0"/>
              <w:ind w:left="959" w:right="0" w:hanging="853"/>
              <w:jc w:val="left"/>
              <w:rPr>
                <w:rFonts w:ascii="Calibri"/>
                <w:sz w:val="22"/>
              </w:rPr>
            </w:pPr>
            <w:r>
              <w:rPr>
                <w:rFonts w:ascii="Calibri"/>
                <w:sz w:val="22"/>
              </w:rPr>
              <w:t>The difference between good and bad</w:t>
            </w:r>
            <w:r>
              <w:rPr>
                <w:rFonts w:ascii="Calibri"/>
                <w:spacing w:val="-6"/>
                <w:sz w:val="22"/>
              </w:rPr>
              <w:t> </w:t>
            </w:r>
            <w:r>
              <w:rPr>
                <w:rFonts w:ascii="Calibri"/>
                <w:sz w:val="22"/>
              </w:rPr>
              <w:t>secrets</w:t>
            </w:r>
          </w:p>
          <w:p>
            <w:pPr>
              <w:pStyle w:val="TableParagraph"/>
              <w:numPr>
                <w:ilvl w:val="3"/>
                <w:numId w:val="72"/>
              </w:numPr>
              <w:tabs>
                <w:tab w:pos="960" w:val="left" w:leader="none"/>
              </w:tabs>
              <w:spacing w:line="240" w:lineRule="auto" w:before="1" w:after="0"/>
              <w:ind w:left="959" w:right="556" w:hanging="852"/>
              <w:jc w:val="left"/>
              <w:rPr>
                <w:rFonts w:ascii="Calibri" w:hAnsi="Calibri"/>
                <w:sz w:val="22"/>
              </w:rPr>
            </w:pPr>
            <w:r>
              <w:rPr>
                <w:rFonts w:ascii="Calibri" w:hAnsi="Calibri"/>
                <w:sz w:val="22"/>
              </w:rPr>
              <w:t>Identifying and correctly name their “private parts” (see NSPCC resource PANTS) for the purposes of safeguarding them from sexual</w:t>
            </w:r>
            <w:r>
              <w:rPr>
                <w:rFonts w:ascii="Calibri" w:hAnsi="Calibri"/>
                <w:spacing w:val="-4"/>
                <w:sz w:val="22"/>
              </w:rPr>
              <w:t> </w:t>
            </w:r>
            <w:r>
              <w:rPr>
                <w:rFonts w:ascii="Calibri" w:hAnsi="Calibri"/>
                <w:sz w:val="22"/>
              </w:rPr>
              <w:t>exploitation.</w:t>
            </w:r>
          </w:p>
          <w:p>
            <w:pPr>
              <w:pStyle w:val="TableParagraph"/>
              <w:spacing w:line="267" w:lineRule="exact"/>
              <w:ind w:left="107"/>
              <w:rPr>
                <w:rFonts w:ascii="Calibri"/>
                <w:b/>
                <w:sz w:val="22"/>
              </w:rPr>
            </w:pPr>
            <w:r>
              <w:rPr>
                <w:rFonts w:ascii="Calibri"/>
                <w:b/>
                <w:sz w:val="22"/>
              </w:rPr>
              <w:t>People who can help me</w:t>
            </w:r>
          </w:p>
          <w:p>
            <w:pPr>
              <w:pStyle w:val="TableParagraph"/>
              <w:numPr>
                <w:ilvl w:val="3"/>
                <w:numId w:val="72"/>
              </w:numPr>
              <w:tabs>
                <w:tab w:pos="960" w:val="left" w:leader="none"/>
              </w:tabs>
              <w:spacing w:line="240" w:lineRule="auto" w:before="0" w:after="0"/>
              <w:ind w:left="959" w:right="0" w:hanging="853"/>
              <w:jc w:val="left"/>
              <w:rPr>
                <w:rFonts w:ascii="Calibri"/>
                <w:sz w:val="22"/>
              </w:rPr>
            </w:pPr>
            <w:r>
              <w:rPr>
                <w:rFonts w:ascii="Calibri"/>
                <w:sz w:val="22"/>
              </w:rPr>
              <w:t>Who to go to if they are worried or need</w:t>
            </w:r>
            <w:r>
              <w:rPr>
                <w:rFonts w:ascii="Calibri"/>
                <w:spacing w:val="-9"/>
                <w:sz w:val="22"/>
              </w:rPr>
              <w:t> </w:t>
            </w:r>
            <w:r>
              <w:rPr>
                <w:rFonts w:ascii="Calibri"/>
                <w:sz w:val="22"/>
              </w:rPr>
              <w:t>help</w:t>
            </w:r>
          </w:p>
          <w:p>
            <w:pPr>
              <w:pStyle w:val="TableParagraph"/>
              <w:numPr>
                <w:ilvl w:val="3"/>
                <w:numId w:val="72"/>
              </w:numPr>
              <w:tabs>
                <w:tab w:pos="960" w:val="left" w:leader="none"/>
              </w:tabs>
              <w:spacing w:line="240" w:lineRule="auto" w:before="0" w:after="0"/>
              <w:ind w:left="959" w:right="351" w:hanging="852"/>
              <w:jc w:val="left"/>
              <w:rPr>
                <w:rFonts w:ascii="Calibri"/>
                <w:sz w:val="22"/>
              </w:rPr>
            </w:pPr>
            <w:r>
              <w:rPr>
                <w:rFonts w:ascii="Calibri"/>
                <w:sz w:val="22"/>
              </w:rPr>
              <w:t>That there are a number of different people and organisations they can go to for help in different</w:t>
            </w:r>
            <w:r>
              <w:rPr>
                <w:rFonts w:ascii="Calibri"/>
                <w:spacing w:val="-16"/>
                <w:sz w:val="22"/>
              </w:rPr>
              <w:t> </w:t>
            </w:r>
            <w:r>
              <w:rPr>
                <w:rFonts w:ascii="Calibri"/>
                <w:sz w:val="22"/>
              </w:rPr>
              <w:t>situations.</w:t>
            </w:r>
          </w:p>
        </w:tc>
        <w:tc>
          <w:tcPr>
            <w:tcW w:w="6623" w:type="dxa"/>
          </w:tcPr>
          <w:p>
            <w:pPr>
              <w:pStyle w:val="TableParagraph"/>
              <w:spacing w:line="267" w:lineRule="exact"/>
              <w:ind w:left="105"/>
              <w:rPr>
                <w:rFonts w:ascii="Calibri"/>
                <w:b/>
                <w:sz w:val="22"/>
              </w:rPr>
            </w:pPr>
            <w:r>
              <w:rPr>
                <w:rFonts w:ascii="Calibri"/>
                <w:b/>
                <w:sz w:val="22"/>
              </w:rPr>
              <w:t>Pupils should be taught:</w:t>
            </w:r>
          </w:p>
          <w:p>
            <w:pPr>
              <w:pStyle w:val="TableParagraph"/>
              <w:spacing w:line="267" w:lineRule="exact"/>
              <w:ind w:left="105"/>
              <w:rPr>
                <w:rFonts w:ascii="Calibri"/>
                <w:b/>
                <w:sz w:val="22"/>
              </w:rPr>
            </w:pPr>
            <w:r>
              <w:rPr>
                <w:rFonts w:ascii="Calibri"/>
                <w:b/>
                <w:sz w:val="22"/>
              </w:rPr>
              <w:t>Keeping safe</w:t>
            </w:r>
          </w:p>
          <w:p>
            <w:pPr>
              <w:pStyle w:val="TableParagraph"/>
              <w:numPr>
                <w:ilvl w:val="3"/>
                <w:numId w:val="73"/>
              </w:numPr>
              <w:tabs>
                <w:tab w:pos="958" w:val="left" w:leader="none"/>
              </w:tabs>
              <w:spacing w:line="240" w:lineRule="auto" w:before="0" w:after="0"/>
              <w:ind w:left="957" w:right="96" w:hanging="852"/>
              <w:jc w:val="left"/>
              <w:rPr>
                <w:rFonts w:ascii="Calibri"/>
                <w:sz w:val="22"/>
              </w:rPr>
            </w:pPr>
            <w:r>
              <w:rPr>
                <w:rFonts w:ascii="Calibri"/>
                <w:sz w:val="22"/>
              </w:rPr>
              <w:t>To recognise their increasing independence brings increased responsibility to keep themselves and others</w:t>
            </w:r>
            <w:r>
              <w:rPr>
                <w:rFonts w:ascii="Calibri"/>
                <w:spacing w:val="-11"/>
                <w:sz w:val="22"/>
              </w:rPr>
              <w:t> </w:t>
            </w:r>
            <w:r>
              <w:rPr>
                <w:rFonts w:ascii="Calibri"/>
                <w:sz w:val="22"/>
              </w:rPr>
              <w:t>safe</w:t>
            </w:r>
          </w:p>
          <w:p>
            <w:pPr>
              <w:pStyle w:val="TableParagraph"/>
              <w:numPr>
                <w:ilvl w:val="3"/>
                <w:numId w:val="73"/>
              </w:numPr>
              <w:tabs>
                <w:tab w:pos="958" w:val="left" w:leader="none"/>
              </w:tabs>
              <w:spacing w:line="240" w:lineRule="auto" w:before="0" w:after="0"/>
              <w:ind w:left="957" w:right="0" w:hanging="853"/>
              <w:jc w:val="left"/>
              <w:rPr>
                <w:rFonts w:ascii="Calibri"/>
                <w:sz w:val="22"/>
              </w:rPr>
            </w:pPr>
            <w:r>
              <w:rPr>
                <w:rFonts w:ascii="Calibri"/>
                <w:sz w:val="22"/>
              </w:rPr>
              <w:t>How to use technology</w:t>
            </w:r>
            <w:r>
              <w:rPr>
                <w:rFonts w:ascii="Calibri"/>
                <w:spacing w:val="-6"/>
                <w:sz w:val="22"/>
              </w:rPr>
              <w:t> </w:t>
            </w:r>
            <w:r>
              <w:rPr>
                <w:rFonts w:ascii="Calibri"/>
                <w:sz w:val="22"/>
              </w:rPr>
              <w:t>safely</w:t>
            </w:r>
          </w:p>
          <w:p>
            <w:pPr>
              <w:pStyle w:val="TableParagraph"/>
              <w:numPr>
                <w:ilvl w:val="3"/>
                <w:numId w:val="73"/>
              </w:numPr>
              <w:tabs>
                <w:tab w:pos="958" w:val="left" w:leader="none"/>
              </w:tabs>
              <w:spacing w:line="240" w:lineRule="auto" w:before="1" w:after="0"/>
              <w:ind w:left="957" w:right="0" w:hanging="853"/>
              <w:jc w:val="left"/>
              <w:rPr>
                <w:rFonts w:ascii="Calibri"/>
                <w:sz w:val="22"/>
              </w:rPr>
            </w:pPr>
            <w:r>
              <w:rPr>
                <w:rFonts w:ascii="Calibri"/>
                <w:sz w:val="22"/>
              </w:rPr>
              <w:t>That not all images, language and behavior are</w:t>
            </w:r>
            <w:r>
              <w:rPr>
                <w:rFonts w:ascii="Calibri"/>
                <w:spacing w:val="-8"/>
                <w:sz w:val="22"/>
              </w:rPr>
              <w:t> </w:t>
            </w:r>
            <w:r>
              <w:rPr>
                <w:rFonts w:ascii="Calibri"/>
                <w:sz w:val="22"/>
              </w:rPr>
              <w:t>appropriate</w:t>
            </w:r>
          </w:p>
          <w:p>
            <w:pPr>
              <w:pStyle w:val="TableParagraph"/>
              <w:numPr>
                <w:ilvl w:val="3"/>
                <w:numId w:val="73"/>
              </w:numPr>
              <w:tabs>
                <w:tab w:pos="958" w:val="left" w:leader="none"/>
              </w:tabs>
              <w:spacing w:line="240" w:lineRule="auto" w:before="0" w:after="0"/>
              <w:ind w:left="957" w:right="100" w:hanging="852"/>
              <w:jc w:val="left"/>
              <w:rPr>
                <w:rFonts w:ascii="Calibri"/>
                <w:sz w:val="22"/>
              </w:rPr>
            </w:pPr>
            <w:r>
              <w:rPr>
                <w:rFonts w:ascii="Calibri"/>
                <w:sz w:val="22"/>
              </w:rPr>
              <w:t>To judge what kind of physical contact is acceptable or unacceptable and how to</w:t>
            </w:r>
            <w:r>
              <w:rPr>
                <w:rFonts w:ascii="Calibri"/>
                <w:spacing w:val="-2"/>
                <w:sz w:val="22"/>
              </w:rPr>
              <w:t> </w:t>
            </w:r>
            <w:r>
              <w:rPr>
                <w:rFonts w:ascii="Calibri"/>
                <w:sz w:val="22"/>
              </w:rPr>
              <w:t>respond</w:t>
            </w:r>
          </w:p>
          <w:p>
            <w:pPr>
              <w:pStyle w:val="TableParagraph"/>
              <w:spacing w:before="1"/>
              <w:ind w:left="105"/>
              <w:rPr>
                <w:rFonts w:ascii="Calibri"/>
                <w:b/>
                <w:sz w:val="22"/>
              </w:rPr>
            </w:pPr>
            <w:r>
              <w:rPr>
                <w:rFonts w:ascii="Calibri"/>
                <w:b/>
                <w:sz w:val="22"/>
              </w:rPr>
              <w:t>People who can help me</w:t>
            </w:r>
          </w:p>
          <w:p>
            <w:pPr>
              <w:pStyle w:val="TableParagraph"/>
              <w:numPr>
                <w:ilvl w:val="3"/>
                <w:numId w:val="73"/>
              </w:numPr>
              <w:tabs>
                <w:tab w:pos="958" w:val="left" w:leader="none"/>
              </w:tabs>
              <w:spacing w:line="240" w:lineRule="auto" w:before="0" w:after="0"/>
              <w:ind w:left="957" w:right="99" w:hanging="852"/>
              <w:jc w:val="both"/>
              <w:rPr>
                <w:rFonts w:ascii="Calibri"/>
                <w:sz w:val="22"/>
              </w:rPr>
            </w:pPr>
            <w:r>
              <w:rPr>
                <w:rFonts w:ascii="Calibri"/>
                <w:sz w:val="22"/>
              </w:rPr>
              <w:t>That there are a number of different people and</w:t>
            </w:r>
            <w:r>
              <w:rPr>
                <w:rFonts w:ascii="Calibri"/>
                <w:spacing w:val="-30"/>
                <w:sz w:val="22"/>
              </w:rPr>
              <w:t> </w:t>
            </w:r>
            <w:r>
              <w:rPr>
                <w:rFonts w:ascii="Calibri"/>
                <w:sz w:val="22"/>
              </w:rPr>
              <w:t>organisations they can go to for help in different situations and how </w:t>
            </w:r>
            <w:r>
              <w:rPr>
                <w:rFonts w:ascii="Calibri"/>
                <w:spacing w:val="-3"/>
                <w:sz w:val="22"/>
              </w:rPr>
              <w:t>to </w:t>
            </w:r>
            <w:r>
              <w:rPr>
                <w:rFonts w:ascii="Calibri"/>
                <w:sz w:val="22"/>
              </w:rPr>
              <w:t>contact them</w:t>
            </w:r>
          </w:p>
          <w:p>
            <w:pPr>
              <w:pStyle w:val="TableParagraph"/>
              <w:numPr>
                <w:ilvl w:val="3"/>
                <w:numId w:val="73"/>
              </w:numPr>
              <w:tabs>
                <w:tab w:pos="958" w:val="left" w:leader="none"/>
              </w:tabs>
              <w:spacing w:line="240" w:lineRule="auto" w:before="0" w:after="0"/>
              <w:ind w:left="957" w:right="96" w:hanging="852"/>
              <w:jc w:val="both"/>
              <w:rPr>
                <w:rFonts w:ascii="Calibri"/>
                <w:sz w:val="22"/>
              </w:rPr>
            </w:pPr>
            <w:r>
              <w:rPr>
                <w:rFonts w:ascii="Calibri"/>
                <w:sz w:val="22"/>
              </w:rPr>
              <w:t>How to report and get help if they encounter inappropriate materials or</w:t>
            </w:r>
            <w:r>
              <w:rPr>
                <w:rFonts w:ascii="Calibri"/>
                <w:spacing w:val="-4"/>
                <w:sz w:val="22"/>
              </w:rPr>
              <w:t> </w:t>
            </w:r>
            <w:r>
              <w:rPr>
                <w:rFonts w:ascii="Calibri"/>
                <w:sz w:val="22"/>
              </w:rPr>
              <w:t>messages</w:t>
            </w:r>
          </w:p>
        </w:tc>
      </w:tr>
    </w:tbl>
    <w:p>
      <w:pPr>
        <w:spacing w:after="0" w:line="240" w:lineRule="auto"/>
        <w:jc w:val="both"/>
        <w:rPr>
          <w:rFonts w:ascii="Calibri"/>
          <w:sz w:val="22"/>
        </w:rPr>
        <w:sectPr>
          <w:headerReference w:type="default" r:id="rId108"/>
          <w:footerReference w:type="default" r:id="rId109"/>
          <w:pgSz w:w="16840" w:h="11910" w:orient="landscape"/>
          <w:pgMar w:header="0" w:footer="666" w:top="1100" w:bottom="860" w:left="1000" w:right="1320"/>
          <w:pgNumType w:start="7"/>
        </w:sectPr>
      </w:pPr>
    </w:p>
    <w:p>
      <w:pPr>
        <w:spacing w:before="27"/>
        <w:ind w:left="440" w:right="0" w:firstLine="0"/>
        <w:jc w:val="left"/>
        <w:rPr>
          <w:rFonts w:ascii="Calibri Light"/>
          <w:b w:val="0"/>
          <w:sz w:val="32"/>
        </w:rPr>
      </w:pPr>
      <w:r>
        <w:rPr>
          <w:rFonts w:ascii="Calibri Light"/>
          <w:b w:val="0"/>
          <w:color w:val="1C3D94"/>
          <w:sz w:val="32"/>
        </w:rPr>
        <w:t>Theme 3: Created to live in community (local, national and global)</w:t>
      </w:r>
    </w:p>
    <w:p>
      <w:pPr>
        <w:pStyle w:val="BodyText"/>
        <w:spacing w:before="3"/>
        <w:rPr>
          <w:rFonts w:ascii="Calibri Light"/>
          <w:b w:val="0"/>
          <w:sz w:val="10"/>
        </w:rPr>
      </w:pPr>
    </w:p>
    <w:tbl>
      <w:tblPr>
        <w:tblW w:w="0" w:type="auto"/>
        <w:jc w:val="left"/>
        <w:tblInd w:w="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4"/>
        <w:gridCol w:w="5922"/>
        <w:gridCol w:w="6868"/>
      </w:tblGrid>
      <w:tr>
        <w:trPr>
          <w:trHeight w:val="263" w:hRule="atLeast"/>
        </w:trPr>
        <w:tc>
          <w:tcPr>
            <w:tcW w:w="1054" w:type="dxa"/>
            <w:tcBorders>
              <w:top w:val="nil"/>
              <w:left w:val="nil"/>
              <w:right w:val="nil"/>
            </w:tcBorders>
          </w:tcPr>
          <w:p>
            <w:pPr>
              <w:pStyle w:val="TableParagraph"/>
              <w:ind w:left="0"/>
              <w:rPr>
                <w:rFonts w:ascii="Times New Roman"/>
                <w:sz w:val="18"/>
              </w:rPr>
            </w:pPr>
          </w:p>
        </w:tc>
        <w:tc>
          <w:tcPr>
            <w:tcW w:w="5922" w:type="dxa"/>
            <w:tcBorders>
              <w:top w:val="nil"/>
              <w:left w:val="nil"/>
              <w:right w:val="nil"/>
            </w:tcBorders>
          </w:tcPr>
          <w:p>
            <w:pPr>
              <w:pStyle w:val="TableParagraph"/>
              <w:spacing w:line="244" w:lineRule="exact"/>
              <w:ind w:left="117"/>
              <w:rPr>
                <w:rFonts w:ascii="Calibri Light"/>
                <w:b w:val="0"/>
                <w:sz w:val="26"/>
              </w:rPr>
            </w:pPr>
            <w:r>
              <w:rPr>
                <w:rFonts w:ascii="Calibri Light"/>
                <w:b w:val="0"/>
                <w:color w:val="1C3D94"/>
                <w:sz w:val="26"/>
              </w:rPr>
              <w:t>EYFS &amp; KS1</w:t>
            </w:r>
          </w:p>
        </w:tc>
        <w:tc>
          <w:tcPr>
            <w:tcW w:w="6868" w:type="dxa"/>
            <w:tcBorders>
              <w:top w:val="nil"/>
              <w:left w:val="nil"/>
              <w:right w:val="nil"/>
            </w:tcBorders>
          </w:tcPr>
          <w:p>
            <w:pPr>
              <w:pStyle w:val="TableParagraph"/>
              <w:spacing w:line="244" w:lineRule="exact"/>
              <w:ind w:left="117"/>
              <w:rPr>
                <w:rFonts w:ascii="Calibri Light"/>
                <w:b w:val="0"/>
                <w:sz w:val="26"/>
              </w:rPr>
            </w:pPr>
            <w:r>
              <w:rPr>
                <w:rFonts w:ascii="Calibri Light"/>
                <w:b w:val="0"/>
                <w:color w:val="1C3D94"/>
                <w:sz w:val="26"/>
              </w:rPr>
              <w:t>KS2</w:t>
            </w:r>
          </w:p>
        </w:tc>
      </w:tr>
      <w:tr>
        <w:trPr>
          <w:trHeight w:val="2241" w:hRule="atLeast"/>
        </w:trPr>
        <w:tc>
          <w:tcPr>
            <w:tcW w:w="1054" w:type="dxa"/>
            <w:shd w:val="clear" w:color="auto" w:fill="FFCCCC"/>
            <w:textDirection w:val="btLr"/>
          </w:tcPr>
          <w:p>
            <w:pPr>
              <w:pStyle w:val="TableParagraph"/>
              <w:spacing w:before="9"/>
              <w:ind w:left="0"/>
              <w:rPr>
                <w:rFonts w:ascii="Calibri Light"/>
                <w:b w:val="0"/>
                <w:sz w:val="31"/>
              </w:rPr>
            </w:pPr>
          </w:p>
          <w:p>
            <w:pPr>
              <w:pStyle w:val="TableParagraph"/>
              <w:spacing w:before="1"/>
              <w:ind w:left="441"/>
              <w:rPr>
                <w:rFonts w:ascii="Calibri"/>
                <w:sz w:val="22"/>
              </w:rPr>
            </w:pPr>
            <w:r>
              <w:rPr>
                <w:rFonts w:ascii="Calibri"/>
                <w:sz w:val="22"/>
              </w:rPr>
              <w:t>Education in virtue</w:t>
            </w:r>
          </w:p>
        </w:tc>
        <w:tc>
          <w:tcPr>
            <w:tcW w:w="5922" w:type="dxa"/>
          </w:tcPr>
          <w:p>
            <w:pPr>
              <w:pStyle w:val="TableParagraph"/>
              <w:spacing w:line="267" w:lineRule="exact"/>
              <w:ind w:left="107"/>
              <w:rPr>
                <w:rFonts w:ascii="Calibri"/>
                <w:b/>
                <w:sz w:val="22"/>
              </w:rPr>
            </w:pPr>
            <w:r>
              <w:rPr>
                <w:rFonts w:ascii="Calibri"/>
                <w:b/>
                <w:sz w:val="22"/>
              </w:rPr>
              <w:t>In a Catholic school, pupils are growing to be:</w:t>
            </w:r>
          </w:p>
          <w:p>
            <w:pPr>
              <w:pStyle w:val="TableParagraph"/>
              <w:numPr>
                <w:ilvl w:val="3"/>
                <w:numId w:val="74"/>
              </w:numPr>
              <w:tabs>
                <w:tab w:pos="960" w:val="left" w:leader="none"/>
              </w:tabs>
              <w:spacing w:line="240" w:lineRule="auto" w:before="0" w:after="0"/>
              <w:ind w:left="959" w:right="703" w:hanging="852"/>
              <w:jc w:val="left"/>
              <w:rPr>
                <w:rFonts w:ascii="Calibri"/>
                <w:sz w:val="22"/>
              </w:rPr>
            </w:pPr>
            <w:r>
              <w:rPr>
                <w:rFonts w:ascii="Calibri"/>
                <w:sz w:val="22"/>
              </w:rPr>
              <w:t>Just and fair in their treatment of other people, locally, nationally and</w:t>
            </w:r>
            <w:r>
              <w:rPr>
                <w:rFonts w:ascii="Calibri"/>
                <w:spacing w:val="-5"/>
                <w:sz w:val="22"/>
              </w:rPr>
              <w:t> </w:t>
            </w:r>
            <w:r>
              <w:rPr>
                <w:rFonts w:ascii="Calibri"/>
                <w:sz w:val="22"/>
              </w:rPr>
              <w:t>globally</w:t>
            </w:r>
          </w:p>
          <w:p>
            <w:pPr>
              <w:pStyle w:val="TableParagraph"/>
              <w:numPr>
                <w:ilvl w:val="3"/>
                <w:numId w:val="74"/>
              </w:numPr>
              <w:tabs>
                <w:tab w:pos="960" w:val="left" w:leader="none"/>
              </w:tabs>
              <w:spacing w:line="240" w:lineRule="auto" w:before="0" w:after="0"/>
              <w:ind w:left="959" w:right="682" w:hanging="852"/>
              <w:jc w:val="left"/>
              <w:rPr>
                <w:rFonts w:ascii="Calibri"/>
                <w:sz w:val="22"/>
              </w:rPr>
            </w:pPr>
            <w:r>
              <w:rPr>
                <w:rFonts w:ascii="Calibri"/>
                <w:sz w:val="22"/>
              </w:rPr>
              <w:t>People who serve others, locally, nationally and globally</w:t>
            </w:r>
          </w:p>
          <w:p>
            <w:pPr>
              <w:pStyle w:val="TableParagraph"/>
              <w:numPr>
                <w:ilvl w:val="3"/>
                <w:numId w:val="74"/>
              </w:numPr>
              <w:tabs>
                <w:tab w:pos="960" w:val="left" w:leader="none"/>
              </w:tabs>
              <w:spacing w:line="240" w:lineRule="auto" w:before="0" w:after="0"/>
              <w:ind w:left="959" w:right="0" w:hanging="853"/>
              <w:jc w:val="left"/>
              <w:rPr>
                <w:rFonts w:ascii="Calibri"/>
                <w:sz w:val="22"/>
              </w:rPr>
            </w:pPr>
            <w:r>
              <w:rPr>
                <w:rFonts w:ascii="Calibri"/>
                <w:sz w:val="22"/>
              </w:rPr>
              <w:t>Active in their commitment to bring about</w:t>
            </w:r>
            <w:r>
              <w:rPr>
                <w:rFonts w:ascii="Calibri"/>
                <w:spacing w:val="-12"/>
                <w:sz w:val="22"/>
              </w:rPr>
              <w:t> </w:t>
            </w:r>
            <w:r>
              <w:rPr>
                <w:rFonts w:ascii="Calibri"/>
                <w:sz w:val="22"/>
              </w:rPr>
              <w:t>change</w:t>
            </w:r>
          </w:p>
        </w:tc>
        <w:tc>
          <w:tcPr>
            <w:tcW w:w="6868" w:type="dxa"/>
          </w:tcPr>
          <w:p>
            <w:pPr>
              <w:pStyle w:val="TableParagraph"/>
              <w:spacing w:line="267" w:lineRule="exact"/>
              <w:ind w:left="107"/>
              <w:rPr>
                <w:rFonts w:ascii="Calibri"/>
                <w:b/>
                <w:sz w:val="22"/>
              </w:rPr>
            </w:pPr>
            <w:r>
              <w:rPr>
                <w:rFonts w:ascii="Calibri"/>
                <w:b/>
                <w:sz w:val="22"/>
              </w:rPr>
              <w:t>In a Catholic school, pupils are growing to be:</w:t>
            </w:r>
          </w:p>
          <w:p>
            <w:pPr>
              <w:pStyle w:val="TableParagraph"/>
              <w:numPr>
                <w:ilvl w:val="3"/>
                <w:numId w:val="75"/>
              </w:numPr>
              <w:tabs>
                <w:tab w:pos="960" w:val="left" w:leader="none"/>
              </w:tabs>
              <w:spacing w:line="240" w:lineRule="auto" w:before="0" w:after="0"/>
              <w:ind w:left="959" w:right="124" w:hanging="852"/>
              <w:jc w:val="left"/>
              <w:rPr>
                <w:rFonts w:ascii="Calibri"/>
                <w:sz w:val="22"/>
              </w:rPr>
            </w:pPr>
            <w:r>
              <w:rPr>
                <w:rFonts w:ascii="Calibri"/>
                <w:sz w:val="22"/>
              </w:rPr>
              <w:t>Just, understanding the impact of their actions locally, nationally and</w:t>
            </w:r>
            <w:r>
              <w:rPr>
                <w:rFonts w:ascii="Calibri"/>
                <w:spacing w:val="-1"/>
                <w:sz w:val="22"/>
              </w:rPr>
              <w:t> </w:t>
            </w:r>
            <w:r>
              <w:rPr>
                <w:rFonts w:ascii="Calibri"/>
                <w:sz w:val="22"/>
              </w:rPr>
              <w:t>globally</w:t>
            </w:r>
          </w:p>
          <w:p>
            <w:pPr>
              <w:pStyle w:val="TableParagraph"/>
              <w:numPr>
                <w:ilvl w:val="3"/>
                <w:numId w:val="75"/>
              </w:numPr>
              <w:tabs>
                <w:tab w:pos="960" w:val="left" w:leader="none"/>
              </w:tabs>
              <w:spacing w:line="240" w:lineRule="auto" w:before="0" w:after="0"/>
              <w:ind w:left="959" w:right="337" w:hanging="852"/>
              <w:jc w:val="left"/>
              <w:rPr>
                <w:rFonts w:ascii="Calibri"/>
                <w:sz w:val="22"/>
              </w:rPr>
            </w:pPr>
            <w:r>
              <w:rPr>
                <w:rFonts w:ascii="Calibri"/>
                <w:sz w:val="22"/>
              </w:rPr>
              <w:t>Self-giving, able to put aside their own wants in order to serve others locally, nationally and</w:t>
            </w:r>
            <w:r>
              <w:rPr>
                <w:rFonts w:ascii="Calibri"/>
                <w:spacing w:val="-5"/>
                <w:sz w:val="22"/>
              </w:rPr>
              <w:t> </w:t>
            </w:r>
            <w:r>
              <w:rPr>
                <w:rFonts w:ascii="Calibri"/>
                <w:sz w:val="22"/>
              </w:rPr>
              <w:t>globally</w:t>
            </w:r>
          </w:p>
          <w:p>
            <w:pPr>
              <w:pStyle w:val="TableParagraph"/>
              <w:numPr>
                <w:ilvl w:val="3"/>
                <w:numId w:val="75"/>
              </w:numPr>
              <w:tabs>
                <w:tab w:pos="960" w:val="left" w:leader="none"/>
              </w:tabs>
              <w:spacing w:line="240" w:lineRule="auto" w:before="0" w:after="0"/>
              <w:ind w:left="959" w:right="656" w:hanging="852"/>
              <w:jc w:val="left"/>
              <w:rPr>
                <w:rFonts w:ascii="Calibri"/>
                <w:sz w:val="22"/>
              </w:rPr>
            </w:pPr>
            <w:r>
              <w:rPr>
                <w:rFonts w:ascii="Calibri"/>
                <w:sz w:val="22"/>
              </w:rPr>
              <w:t>Prophetic in their ability to identify injustice and speak out against it locally, nationally and</w:t>
            </w:r>
            <w:r>
              <w:rPr>
                <w:rFonts w:ascii="Calibri"/>
                <w:spacing w:val="-3"/>
                <w:sz w:val="22"/>
              </w:rPr>
              <w:t> </w:t>
            </w:r>
            <w:r>
              <w:rPr>
                <w:rFonts w:ascii="Calibri"/>
                <w:sz w:val="22"/>
              </w:rPr>
              <w:t>globally</w:t>
            </w:r>
          </w:p>
        </w:tc>
      </w:tr>
      <w:tr>
        <w:trPr>
          <w:trHeight w:val="2625" w:hRule="atLeast"/>
        </w:trPr>
        <w:tc>
          <w:tcPr>
            <w:tcW w:w="1054" w:type="dxa"/>
            <w:tcBorders>
              <w:left w:val="single" w:sz="4" w:space="0" w:color="000000"/>
              <w:bottom w:val="single" w:sz="4" w:space="0" w:color="000000"/>
              <w:right w:val="single" w:sz="4" w:space="0" w:color="000000"/>
            </w:tcBorders>
            <w:shd w:val="clear" w:color="auto" w:fill="BBFFDA"/>
            <w:textDirection w:val="btLr"/>
          </w:tcPr>
          <w:p>
            <w:pPr>
              <w:pStyle w:val="TableParagraph"/>
              <w:spacing w:line="247" w:lineRule="auto" w:before="117"/>
              <w:ind w:left="220" w:right="110" w:hanging="94"/>
              <w:jc w:val="right"/>
              <w:rPr>
                <w:rFonts w:ascii="Calibri"/>
                <w:sz w:val="22"/>
              </w:rPr>
            </w:pPr>
            <w:r>
              <w:rPr>
                <w:rFonts w:ascii="Calibri"/>
                <w:sz w:val="22"/>
              </w:rPr>
              <w:t>Religious</w:t>
            </w:r>
            <w:r>
              <w:rPr>
                <w:rFonts w:ascii="Calibri"/>
                <w:spacing w:val="-2"/>
                <w:sz w:val="22"/>
              </w:rPr>
              <w:t> </w:t>
            </w:r>
            <w:r>
              <w:rPr>
                <w:rFonts w:ascii="Calibri"/>
                <w:sz w:val="22"/>
              </w:rPr>
              <w:t>understanding</w:t>
            </w:r>
            <w:r>
              <w:rPr>
                <w:rFonts w:ascii="Calibri"/>
                <w:spacing w:val="-2"/>
                <w:sz w:val="22"/>
              </w:rPr>
              <w:t> </w:t>
            </w:r>
            <w:r>
              <w:rPr>
                <w:rFonts w:ascii="Calibri"/>
                <w:sz w:val="22"/>
              </w:rPr>
              <w:t>of</w:t>
            </w:r>
            <w:r>
              <w:rPr>
                <w:rFonts w:ascii="Calibri"/>
                <w:w w:val="100"/>
                <w:sz w:val="22"/>
              </w:rPr>
              <w:t> </w:t>
            </w:r>
            <w:r>
              <w:rPr>
                <w:rFonts w:ascii="Calibri"/>
                <w:sz w:val="22"/>
              </w:rPr>
              <w:t>the importance of</w:t>
            </w:r>
            <w:r>
              <w:rPr>
                <w:rFonts w:ascii="Calibri"/>
                <w:spacing w:val="4"/>
                <w:sz w:val="22"/>
              </w:rPr>
              <w:t> </w:t>
            </w:r>
            <w:r>
              <w:rPr>
                <w:rFonts w:ascii="Calibri"/>
                <w:spacing w:val="-4"/>
                <w:sz w:val="22"/>
              </w:rPr>
              <w:t>human</w:t>
            </w:r>
          </w:p>
          <w:p>
            <w:pPr>
              <w:pStyle w:val="TableParagraph"/>
              <w:spacing w:line="267" w:lineRule="exact"/>
              <w:ind w:left="0" w:right="108"/>
              <w:jc w:val="right"/>
              <w:rPr>
                <w:rFonts w:ascii="Calibri"/>
                <w:sz w:val="22"/>
              </w:rPr>
            </w:pPr>
            <w:r>
              <w:rPr>
                <w:rFonts w:ascii="Calibri"/>
                <w:spacing w:val="-1"/>
                <w:sz w:val="22"/>
              </w:rPr>
              <w:t>communities</w:t>
            </w:r>
          </w:p>
        </w:tc>
        <w:tc>
          <w:tcPr>
            <w:tcW w:w="5922" w:type="dxa"/>
            <w:tcBorders>
              <w:left w:val="single" w:sz="4" w:space="0" w:color="000000"/>
              <w:bottom w:val="single" w:sz="4" w:space="0" w:color="000000"/>
              <w:right w:val="single" w:sz="4" w:space="0" w:color="000000"/>
            </w:tcBorders>
          </w:tcPr>
          <w:p>
            <w:pPr>
              <w:pStyle w:val="TableParagraph"/>
              <w:spacing w:line="265" w:lineRule="exact"/>
              <w:ind w:left="112"/>
              <w:rPr>
                <w:rFonts w:ascii="Calibri"/>
                <w:b/>
                <w:sz w:val="22"/>
              </w:rPr>
            </w:pPr>
            <w:r>
              <w:rPr>
                <w:rFonts w:ascii="Calibri"/>
                <w:b/>
                <w:sz w:val="22"/>
              </w:rPr>
              <w:t>Pupils should be taught:</w:t>
            </w:r>
          </w:p>
          <w:p>
            <w:pPr>
              <w:pStyle w:val="TableParagraph"/>
              <w:numPr>
                <w:ilvl w:val="3"/>
                <w:numId w:val="76"/>
              </w:numPr>
              <w:tabs>
                <w:tab w:pos="965" w:val="left" w:leader="none"/>
              </w:tabs>
              <w:spacing w:line="240" w:lineRule="auto" w:before="0" w:after="0"/>
              <w:ind w:left="964" w:right="0" w:hanging="853"/>
              <w:jc w:val="left"/>
              <w:rPr>
                <w:rFonts w:ascii="Calibri"/>
                <w:sz w:val="22"/>
              </w:rPr>
            </w:pPr>
            <w:r>
              <w:rPr>
                <w:rFonts w:ascii="Calibri"/>
                <w:sz w:val="22"/>
              </w:rPr>
              <w:t>That God is Father, Son and Holy</w:t>
            </w:r>
            <w:r>
              <w:rPr>
                <w:rFonts w:ascii="Calibri"/>
                <w:spacing w:val="-3"/>
                <w:sz w:val="22"/>
              </w:rPr>
              <w:t> </w:t>
            </w:r>
            <w:r>
              <w:rPr>
                <w:rFonts w:ascii="Calibri"/>
                <w:sz w:val="22"/>
              </w:rPr>
              <w:t>Spirit</w:t>
            </w:r>
          </w:p>
          <w:p>
            <w:pPr>
              <w:pStyle w:val="TableParagraph"/>
              <w:numPr>
                <w:ilvl w:val="3"/>
                <w:numId w:val="76"/>
              </w:numPr>
              <w:tabs>
                <w:tab w:pos="965" w:val="left" w:leader="none"/>
              </w:tabs>
              <w:spacing w:line="240" w:lineRule="auto" w:before="0" w:after="0"/>
              <w:ind w:left="964" w:right="196" w:hanging="852"/>
              <w:jc w:val="left"/>
              <w:rPr>
                <w:rFonts w:ascii="Calibri"/>
                <w:sz w:val="22"/>
              </w:rPr>
            </w:pPr>
            <w:r>
              <w:rPr>
                <w:rFonts w:ascii="Calibri"/>
                <w:sz w:val="22"/>
              </w:rPr>
              <w:t>Some scripture illustrating the importance of living in community</w:t>
            </w:r>
          </w:p>
          <w:p>
            <w:pPr>
              <w:pStyle w:val="TableParagraph"/>
              <w:numPr>
                <w:ilvl w:val="3"/>
                <w:numId w:val="76"/>
              </w:numPr>
              <w:tabs>
                <w:tab w:pos="965" w:val="left" w:leader="none"/>
              </w:tabs>
              <w:spacing w:line="240" w:lineRule="auto" w:before="1" w:after="0"/>
              <w:ind w:left="964" w:right="0" w:hanging="853"/>
              <w:jc w:val="left"/>
              <w:rPr>
                <w:rFonts w:ascii="Calibri" w:hAnsi="Calibri"/>
                <w:sz w:val="22"/>
              </w:rPr>
            </w:pPr>
            <w:r>
              <w:rPr>
                <w:rFonts w:ascii="Calibri" w:hAnsi="Calibri"/>
                <w:sz w:val="22"/>
              </w:rPr>
              <w:t>Jesus’ teaching on who is my</w:t>
            </w:r>
            <w:r>
              <w:rPr>
                <w:rFonts w:ascii="Calibri" w:hAnsi="Calibri"/>
                <w:spacing w:val="-8"/>
                <w:sz w:val="22"/>
              </w:rPr>
              <w:t> </w:t>
            </w:r>
            <w:r>
              <w:rPr>
                <w:rFonts w:ascii="Calibri" w:hAnsi="Calibri"/>
                <w:sz w:val="22"/>
              </w:rPr>
              <w:t>neighbour</w:t>
            </w:r>
          </w:p>
        </w:tc>
        <w:tc>
          <w:tcPr>
            <w:tcW w:w="6868" w:type="dxa"/>
            <w:tcBorders>
              <w:left w:val="single" w:sz="4" w:space="0" w:color="000000"/>
              <w:bottom w:val="single" w:sz="4" w:space="0" w:color="000000"/>
              <w:right w:val="single" w:sz="4" w:space="0" w:color="000000"/>
            </w:tcBorders>
          </w:tcPr>
          <w:p>
            <w:pPr>
              <w:pStyle w:val="TableParagraph"/>
              <w:spacing w:line="265" w:lineRule="exact"/>
              <w:ind w:left="117"/>
              <w:rPr>
                <w:rFonts w:ascii="Calibri"/>
                <w:b/>
                <w:sz w:val="22"/>
              </w:rPr>
            </w:pPr>
            <w:r>
              <w:rPr>
                <w:rFonts w:ascii="Calibri"/>
                <w:b/>
                <w:sz w:val="22"/>
              </w:rPr>
              <w:t>Pupils should be taught:</w:t>
            </w:r>
          </w:p>
          <w:p>
            <w:pPr>
              <w:pStyle w:val="TableParagraph"/>
              <w:numPr>
                <w:ilvl w:val="3"/>
                <w:numId w:val="77"/>
              </w:numPr>
              <w:tabs>
                <w:tab w:pos="965" w:val="left" w:leader="none"/>
              </w:tabs>
              <w:spacing w:line="240" w:lineRule="auto" w:before="0" w:after="0"/>
              <w:ind w:left="964" w:right="0" w:hanging="853"/>
              <w:jc w:val="left"/>
              <w:rPr>
                <w:rFonts w:ascii="Calibri" w:hAnsi="Calibri"/>
                <w:sz w:val="22"/>
              </w:rPr>
            </w:pPr>
            <w:r>
              <w:rPr>
                <w:rFonts w:ascii="Calibri" w:hAnsi="Calibri"/>
                <w:sz w:val="22"/>
              </w:rPr>
              <w:t>God is Trinity – a communion of</w:t>
            </w:r>
            <w:r>
              <w:rPr>
                <w:rFonts w:ascii="Calibri" w:hAnsi="Calibri"/>
                <w:spacing w:val="-9"/>
                <w:sz w:val="22"/>
              </w:rPr>
              <w:t> </w:t>
            </w:r>
            <w:r>
              <w:rPr>
                <w:rFonts w:ascii="Calibri" w:hAnsi="Calibri"/>
                <w:sz w:val="22"/>
              </w:rPr>
              <w:t>persons</w:t>
            </w:r>
          </w:p>
          <w:p>
            <w:pPr>
              <w:pStyle w:val="TableParagraph"/>
              <w:numPr>
                <w:ilvl w:val="3"/>
                <w:numId w:val="77"/>
              </w:numPr>
              <w:tabs>
                <w:tab w:pos="965" w:val="left" w:leader="none"/>
              </w:tabs>
              <w:spacing w:line="240" w:lineRule="auto" w:before="0" w:after="0"/>
              <w:ind w:left="964" w:right="0" w:hanging="853"/>
              <w:jc w:val="left"/>
              <w:rPr>
                <w:rFonts w:ascii="Calibri"/>
                <w:sz w:val="22"/>
              </w:rPr>
            </w:pPr>
            <w:r>
              <w:rPr>
                <w:rFonts w:ascii="Calibri"/>
                <w:sz w:val="22"/>
              </w:rPr>
              <w:t>The key principles of Catholic Social</w:t>
            </w:r>
            <w:r>
              <w:rPr>
                <w:rFonts w:ascii="Calibri"/>
                <w:spacing w:val="-3"/>
                <w:sz w:val="22"/>
              </w:rPr>
              <w:t> </w:t>
            </w:r>
            <w:r>
              <w:rPr>
                <w:rFonts w:ascii="Calibri"/>
                <w:sz w:val="22"/>
              </w:rPr>
              <w:t>Teaching</w:t>
            </w:r>
          </w:p>
          <w:p>
            <w:pPr>
              <w:pStyle w:val="TableParagraph"/>
              <w:numPr>
                <w:ilvl w:val="3"/>
                <w:numId w:val="77"/>
              </w:numPr>
              <w:tabs>
                <w:tab w:pos="965" w:val="left" w:leader="none"/>
              </w:tabs>
              <w:spacing w:line="240" w:lineRule="auto" w:before="0" w:after="0"/>
              <w:ind w:left="964" w:right="0" w:hanging="853"/>
              <w:jc w:val="left"/>
              <w:rPr>
                <w:rFonts w:ascii="Calibri"/>
                <w:sz w:val="22"/>
              </w:rPr>
            </w:pPr>
            <w:r>
              <w:rPr>
                <w:rFonts w:ascii="Calibri"/>
                <w:sz w:val="22"/>
              </w:rPr>
              <w:t>The Church is the Body of</w:t>
            </w:r>
            <w:r>
              <w:rPr>
                <w:rFonts w:ascii="Calibri"/>
                <w:spacing w:val="-8"/>
                <w:sz w:val="22"/>
              </w:rPr>
              <w:t> </w:t>
            </w:r>
            <w:r>
              <w:rPr>
                <w:rFonts w:ascii="Calibri"/>
                <w:sz w:val="22"/>
              </w:rPr>
              <w:t>Christ</w:t>
            </w:r>
          </w:p>
        </w:tc>
      </w:tr>
      <w:tr>
        <w:trPr>
          <w:trHeight w:val="3787" w:hRule="atLeast"/>
        </w:trPr>
        <w:tc>
          <w:tcPr>
            <w:tcW w:w="1054" w:type="dxa"/>
            <w:tcBorders>
              <w:top w:val="single" w:sz="4" w:space="0" w:color="000000"/>
              <w:left w:val="single" w:sz="4" w:space="0" w:color="000000"/>
              <w:bottom w:val="single" w:sz="4" w:space="0" w:color="000000"/>
              <w:right w:val="single" w:sz="4" w:space="0" w:color="000000"/>
            </w:tcBorders>
            <w:shd w:val="clear" w:color="auto" w:fill="E1D0F0"/>
            <w:textDirection w:val="btLr"/>
          </w:tcPr>
          <w:p>
            <w:pPr>
              <w:pStyle w:val="TableParagraph"/>
              <w:spacing w:before="2"/>
              <w:ind w:left="0"/>
              <w:rPr>
                <w:rFonts w:ascii="Calibri Light"/>
                <w:b w:val="0"/>
                <w:sz w:val="32"/>
              </w:rPr>
            </w:pPr>
          </w:p>
          <w:p>
            <w:pPr>
              <w:pStyle w:val="TableParagraph"/>
              <w:ind w:left="1471"/>
              <w:rPr>
                <w:rFonts w:ascii="Calibri"/>
                <w:sz w:val="22"/>
              </w:rPr>
            </w:pPr>
            <w:r>
              <w:rPr>
                <w:rFonts w:ascii="Calibri"/>
                <w:sz w:val="22"/>
              </w:rPr>
              <w:t>Living in the wider world</w:t>
            </w:r>
          </w:p>
        </w:tc>
        <w:tc>
          <w:tcPr>
            <w:tcW w:w="592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12"/>
              <w:rPr>
                <w:rFonts w:ascii="Calibri"/>
                <w:b/>
                <w:sz w:val="22"/>
              </w:rPr>
            </w:pPr>
            <w:r>
              <w:rPr>
                <w:rFonts w:ascii="Calibri"/>
                <w:b/>
                <w:sz w:val="22"/>
              </w:rPr>
              <w:t>Pupils should be taught:</w:t>
            </w:r>
          </w:p>
          <w:p>
            <w:pPr>
              <w:pStyle w:val="TableParagraph"/>
              <w:numPr>
                <w:ilvl w:val="3"/>
                <w:numId w:val="78"/>
              </w:numPr>
              <w:tabs>
                <w:tab w:pos="965" w:val="left" w:leader="none"/>
              </w:tabs>
              <w:spacing w:line="240" w:lineRule="auto" w:before="0" w:after="0"/>
              <w:ind w:left="964" w:right="208" w:hanging="852"/>
              <w:jc w:val="left"/>
              <w:rPr>
                <w:rFonts w:ascii="Calibri"/>
                <w:sz w:val="22"/>
              </w:rPr>
            </w:pPr>
            <w:r>
              <w:rPr>
                <w:rFonts w:ascii="Calibri"/>
                <w:sz w:val="22"/>
              </w:rPr>
              <w:t>That they belong to various communities such as home, school, parish, the wider local community and the global</w:t>
            </w:r>
            <w:r>
              <w:rPr>
                <w:rFonts w:ascii="Calibri"/>
                <w:spacing w:val="-3"/>
                <w:sz w:val="22"/>
              </w:rPr>
              <w:t> </w:t>
            </w:r>
            <w:r>
              <w:rPr>
                <w:rFonts w:ascii="Calibri"/>
                <w:sz w:val="22"/>
              </w:rPr>
              <w:t>community</w:t>
            </w:r>
          </w:p>
          <w:p>
            <w:pPr>
              <w:pStyle w:val="TableParagraph"/>
              <w:numPr>
                <w:ilvl w:val="3"/>
                <w:numId w:val="78"/>
              </w:numPr>
              <w:tabs>
                <w:tab w:pos="965" w:val="left" w:leader="none"/>
              </w:tabs>
              <w:spacing w:line="237" w:lineRule="auto" w:before="3" w:after="0"/>
              <w:ind w:left="964" w:right="89" w:hanging="852"/>
              <w:jc w:val="left"/>
              <w:rPr>
                <w:rFonts w:ascii="Calibri"/>
                <w:sz w:val="22"/>
              </w:rPr>
            </w:pPr>
            <w:r>
              <w:rPr>
                <w:rFonts w:ascii="Calibri"/>
                <w:sz w:val="22"/>
              </w:rPr>
              <w:t>That their behavior has an impact on the communities to which they</w:t>
            </w:r>
            <w:r>
              <w:rPr>
                <w:rFonts w:ascii="Calibri"/>
                <w:spacing w:val="-3"/>
                <w:sz w:val="22"/>
              </w:rPr>
              <w:t> </w:t>
            </w:r>
            <w:r>
              <w:rPr>
                <w:rFonts w:ascii="Calibri"/>
                <w:sz w:val="22"/>
              </w:rPr>
              <w:t>belong</w:t>
            </w:r>
          </w:p>
          <w:p>
            <w:pPr>
              <w:pStyle w:val="TableParagraph"/>
              <w:numPr>
                <w:ilvl w:val="3"/>
                <w:numId w:val="78"/>
              </w:numPr>
              <w:tabs>
                <w:tab w:pos="965" w:val="left" w:leader="none"/>
              </w:tabs>
              <w:spacing w:line="240" w:lineRule="auto" w:before="2" w:after="0"/>
              <w:ind w:left="964" w:right="89" w:hanging="852"/>
              <w:jc w:val="left"/>
              <w:rPr>
                <w:rFonts w:ascii="Calibri"/>
                <w:sz w:val="22"/>
              </w:rPr>
            </w:pPr>
            <w:r>
              <w:rPr>
                <w:rFonts w:ascii="Calibri"/>
                <w:sz w:val="22"/>
              </w:rPr>
              <w:t>That people and other living things have needs and that they have responsibilities to meet</w:t>
            </w:r>
            <w:r>
              <w:rPr>
                <w:rFonts w:ascii="Calibri"/>
                <w:spacing w:val="-4"/>
                <w:sz w:val="22"/>
              </w:rPr>
              <w:t> </w:t>
            </w:r>
            <w:r>
              <w:rPr>
                <w:rFonts w:ascii="Calibri"/>
                <w:sz w:val="22"/>
              </w:rPr>
              <w:t>them;</w:t>
            </w:r>
          </w:p>
          <w:p>
            <w:pPr>
              <w:pStyle w:val="TableParagraph"/>
              <w:numPr>
                <w:ilvl w:val="3"/>
                <w:numId w:val="78"/>
              </w:numPr>
              <w:tabs>
                <w:tab w:pos="965" w:val="left" w:leader="none"/>
              </w:tabs>
              <w:spacing w:line="240" w:lineRule="auto" w:before="0" w:after="0"/>
              <w:ind w:left="964" w:right="87" w:hanging="852"/>
              <w:jc w:val="left"/>
              <w:rPr>
                <w:rFonts w:ascii="Calibri"/>
                <w:sz w:val="22"/>
              </w:rPr>
            </w:pPr>
            <w:r>
              <w:rPr>
                <w:rFonts w:ascii="Calibri"/>
                <w:sz w:val="22"/>
              </w:rPr>
              <w:t>About what harms and improves the world in which they live</w:t>
            </w:r>
          </w:p>
          <w:p>
            <w:pPr>
              <w:pStyle w:val="TableParagraph"/>
              <w:numPr>
                <w:ilvl w:val="3"/>
                <w:numId w:val="78"/>
              </w:numPr>
              <w:tabs>
                <w:tab w:pos="965" w:val="left" w:leader="none"/>
              </w:tabs>
              <w:spacing w:line="240" w:lineRule="auto" w:before="1" w:after="0"/>
              <w:ind w:left="964" w:right="93" w:hanging="852"/>
              <w:jc w:val="left"/>
              <w:rPr>
                <w:rFonts w:ascii="Calibri"/>
                <w:sz w:val="22"/>
              </w:rPr>
            </w:pPr>
            <w:r>
              <w:rPr>
                <w:rFonts w:ascii="Calibri"/>
                <w:sz w:val="22"/>
              </w:rPr>
              <w:t>How diseases are spread and can be controlled and the responsibilities they have for their own health and that of others e.g. washing</w:t>
            </w:r>
            <w:r>
              <w:rPr>
                <w:rFonts w:ascii="Calibri"/>
                <w:spacing w:val="-9"/>
                <w:sz w:val="22"/>
              </w:rPr>
              <w:t> </w:t>
            </w:r>
            <w:r>
              <w:rPr>
                <w:rFonts w:ascii="Calibri"/>
                <w:sz w:val="22"/>
              </w:rPr>
              <w:t>hands</w:t>
            </w:r>
          </w:p>
        </w:tc>
        <w:tc>
          <w:tcPr>
            <w:tcW w:w="68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12"/>
              <w:jc w:val="both"/>
              <w:rPr>
                <w:rFonts w:ascii="Calibri"/>
                <w:b/>
                <w:sz w:val="22"/>
              </w:rPr>
            </w:pPr>
            <w:r>
              <w:rPr>
                <w:rFonts w:ascii="Calibri"/>
                <w:b/>
                <w:sz w:val="22"/>
              </w:rPr>
              <w:t>Pupils should be taught:</w:t>
            </w:r>
          </w:p>
          <w:p>
            <w:pPr>
              <w:pStyle w:val="TableParagraph"/>
              <w:numPr>
                <w:ilvl w:val="3"/>
                <w:numId w:val="79"/>
              </w:numPr>
              <w:tabs>
                <w:tab w:pos="965" w:val="left" w:leader="none"/>
              </w:tabs>
              <w:spacing w:line="240" w:lineRule="auto" w:before="0" w:after="0"/>
              <w:ind w:left="964" w:right="88" w:hanging="852"/>
              <w:jc w:val="both"/>
              <w:rPr>
                <w:rFonts w:ascii="Calibri"/>
                <w:sz w:val="22"/>
              </w:rPr>
            </w:pPr>
            <w:r>
              <w:rPr>
                <w:rFonts w:ascii="Calibri"/>
                <w:sz w:val="22"/>
              </w:rPr>
              <w:t>That there are some cultural practices which are against British law and universal rights (e.g. honour based violence and forced marriage, human trafficking</w:t>
            </w:r>
            <w:r>
              <w:rPr>
                <w:rFonts w:ascii="Calibri"/>
                <w:spacing w:val="-6"/>
                <w:sz w:val="22"/>
              </w:rPr>
              <w:t> </w:t>
            </w:r>
            <w:r>
              <w:rPr>
                <w:rFonts w:ascii="Calibri"/>
                <w:sz w:val="22"/>
              </w:rPr>
              <w:t>etc.)</w:t>
            </w:r>
          </w:p>
          <w:p>
            <w:pPr>
              <w:pStyle w:val="TableParagraph"/>
              <w:numPr>
                <w:ilvl w:val="3"/>
                <w:numId w:val="79"/>
              </w:numPr>
              <w:tabs>
                <w:tab w:pos="965" w:val="left" w:leader="none"/>
              </w:tabs>
              <w:spacing w:line="240" w:lineRule="auto" w:before="1" w:after="0"/>
              <w:ind w:left="964" w:right="96" w:hanging="852"/>
              <w:jc w:val="both"/>
              <w:rPr>
                <w:rFonts w:ascii="Calibri"/>
                <w:sz w:val="22"/>
              </w:rPr>
            </w:pPr>
            <w:r>
              <w:rPr>
                <w:rFonts w:ascii="Calibri"/>
                <w:sz w:val="22"/>
              </w:rPr>
              <w:t>That actions such as female genital mutilation (FGM) constitute abuse, are crimes and how to get support if they have fears for themselves or their</w:t>
            </w:r>
            <w:r>
              <w:rPr>
                <w:rFonts w:ascii="Calibri"/>
                <w:spacing w:val="-2"/>
                <w:sz w:val="22"/>
              </w:rPr>
              <w:t> </w:t>
            </w:r>
            <w:r>
              <w:rPr>
                <w:rFonts w:ascii="Calibri"/>
                <w:sz w:val="22"/>
              </w:rPr>
              <w:t>peers</w:t>
            </w:r>
          </w:p>
          <w:p>
            <w:pPr>
              <w:pStyle w:val="TableParagraph"/>
              <w:numPr>
                <w:ilvl w:val="3"/>
                <w:numId w:val="79"/>
              </w:numPr>
              <w:tabs>
                <w:tab w:pos="965" w:val="left" w:leader="none"/>
              </w:tabs>
              <w:spacing w:line="240" w:lineRule="auto" w:before="0" w:after="0"/>
              <w:ind w:left="964" w:right="92" w:hanging="852"/>
              <w:jc w:val="both"/>
              <w:rPr>
                <w:rFonts w:ascii="Calibri"/>
                <w:sz w:val="22"/>
              </w:rPr>
            </w:pPr>
            <w:r>
              <w:rPr>
                <w:rFonts w:ascii="Calibri"/>
                <w:sz w:val="22"/>
              </w:rPr>
              <w:t>That bacteria and viruses can affect health and that following simple routines and medical interventions can reduce their spread</w:t>
            </w:r>
          </w:p>
          <w:p>
            <w:pPr>
              <w:pStyle w:val="TableParagraph"/>
              <w:numPr>
                <w:ilvl w:val="3"/>
                <w:numId w:val="79"/>
              </w:numPr>
              <w:tabs>
                <w:tab w:pos="965" w:val="left" w:leader="none"/>
              </w:tabs>
              <w:spacing w:line="240" w:lineRule="auto" w:before="0" w:after="0"/>
              <w:ind w:left="964" w:right="92" w:hanging="852"/>
              <w:jc w:val="both"/>
              <w:rPr>
                <w:rFonts w:ascii="Calibri"/>
                <w:sz w:val="22"/>
              </w:rPr>
            </w:pPr>
            <w:r>
              <w:rPr>
                <w:rFonts w:ascii="Calibri"/>
                <w:sz w:val="22"/>
              </w:rPr>
              <w:t>About the range of national, regional, religious and ethnic identities in the United Kingdom and beyond and the</w:t>
            </w:r>
            <w:r>
              <w:rPr>
                <w:rFonts w:ascii="Calibri"/>
                <w:spacing w:val="-34"/>
                <w:sz w:val="22"/>
              </w:rPr>
              <w:t> </w:t>
            </w:r>
            <w:r>
              <w:rPr>
                <w:rFonts w:ascii="Calibri"/>
                <w:sz w:val="22"/>
              </w:rPr>
              <w:t>importance of living in right relationship with one</w:t>
            </w:r>
            <w:r>
              <w:rPr>
                <w:rFonts w:ascii="Calibri"/>
                <w:spacing w:val="-9"/>
                <w:sz w:val="22"/>
              </w:rPr>
              <w:t> </w:t>
            </w:r>
            <w:r>
              <w:rPr>
                <w:rFonts w:ascii="Calibri"/>
                <w:sz w:val="22"/>
              </w:rPr>
              <w:t>another</w:t>
            </w:r>
          </w:p>
        </w:tc>
      </w:tr>
    </w:tbl>
    <w:p>
      <w:pPr>
        <w:spacing w:after="0" w:line="240" w:lineRule="auto"/>
        <w:jc w:val="both"/>
        <w:rPr>
          <w:rFonts w:ascii="Calibri"/>
          <w:sz w:val="22"/>
        </w:rPr>
        <w:sectPr>
          <w:headerReference w:type="default" r:id="rId110"/>
          <w:footerReference w:type="default" r:id="rId111"/>
          <w:pgSz w:w="16840" w:h="11910" w:orient="landscape"/>
          <w:pgMar w:header="0" w:footer="666" w:top="1100" w:bottom="860" w:left="1000" w:right="1320"/>
          <w:pgNumType w:start="8"/>
        </w:sectPr>
      </w:pPr>
    </w:p>
    <w:p>
      <w:pPr>
        <w:spacing w:before="70"/>
        <w:ind w:left="0" w:right="1216" w:firstLine="0"/>
        <w:jc w:val="right"/>
        <w:rPr>
          <w:sz w:val="20"/>
        </w:rPr>
      </w:pPr>
      <w:hyperlink w:history="true" w:anchor="_bookmark0">
        <w:r>
          <w:rPr>
            <w:sz w:val="20"/>
            <w:u w:val="single"/>
          </w:rPr>
          <w:t>Back to Index</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line="1572" w:lineRule="exact" w:before="88"/>
        <w:ind w:left="1337" w:right="1277" w:firstLine="0"/>
        <w:jc w:val="center"/>
        <w:rPr>
          <w:rFonts w:ascii="Trebuchet MS"/>
          <w:sz w:val="144"/>
        </w:rPr>
      </w:pPr>
      <w:bookmarkStart w:name="_bookmark50" w:id="104"/>
      <w:bookmarkEnd w:id="104"/>
      <w:r>
        <w:rPr/>
      </w:r>
      <w:r>
        <w:rPr>
          <w:rFonts w:ascii="Trebuchet MS"/>
          <w:w w:val="75"/>
          <w:sz w:val="144"/>
        </w:rPr>
        <w:t>APPENDIX</w:t>
      </w:r>
    </w:p>
    <w:p>
      <w:pPr>
        <w:spacing w:line="1556" w:lineRule="exact" w:before="0"/>
        <w:ind w:left="1336" w:right="1277" w:firstLine="0"/>
        <w:jc w:val="center"/>
        <w:rPr>
          <w:sz w:val="144"/>
        </w:rPr>
      </w:pPr>
      <w:r>
        <w:rPr>
          <w:color w:val="EC7C30"/>
          <w:w w:val="55"/>
          <w:sz w:val="144"/>
        </w:rPr>
        <w:t>THREE</w:t>
      </w:r>
    </w:p>
    <w:p>
      <w:pPr>
        <w:spacing w:line="259" w:lineRule="auto" w:before="397"/>
        <w:ind w:left="1338" w:right="1277" w:firstLine="0"/>
        <w:jc w:val="center"/>
        <w:rPr>
          <w:b/>
          <w:sz w:val="32"/>
        </w:rPr>
      </w:pPr>
      <w:r>
        <w:rPr>
          <w:b/>
          <w:sz w:val="32"/>
        </w:rPr>
        <w:t>Learning to Love: An introduction to Catholic Relationship and Sex Education (RSE) for Catholic Educators</w:t>
      </w:r>
    </w:p>
    <w:p>
      <w:pPr>
        <w:pStyle w:val="BodyText"/>
        <w:spacing w:before="6"/>
        <w:rPr>
          <w:b/>
          <w:sz w:val="34"/>
        </w:rPr>
      </w:pPr>
    </w:p>
    <w:p>
      <w:pPr>
        <w:spacing w:before="0"/>
        <w:ind w:left="1336" w:right="1277" w:firstLine="0"/>
        <w:jc w:val="center"/>
        <w:rPr>
          <w:b/>
          <w:sz w:val="32"/>
        </w:rPr>
      </w:pPr>
      <w:r>
        <w:rPr>
          <w:b/>
          <w:sz w:val="32"/>
        </w:rPr>
        <w:t>by the Bishops of England and Wales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spacing w:before="1"/>
        <w:ind w:left="1388" w:right="0" w:firstLine="0"/>
        <w:jc w:val="left"/>
        <w:rPr>
          <w:sz w:val="20"/>
        </w:rPr>
      </w:pPr>
      <w:r>
        <w:rPr/>
        <w:drawing>
          <wp:anchor distT="0" distB="0" distL="0" distR="0" allowOverlap="1" layoutInCell="1" locked="0" behindDoc="0" simplePos="0" relativeHeight="251679744">
            <wp:simplePos x="0" y="0"/>
            <wp:positionH relativeFrom="page">
              <wp:posOffset>5300979</wp:posOffset>
            </wp:positionH>
            <wp:positionV relativeFrom="paragraph">
              <wp:posOffset>-136272</wp:posOffset>
            </wp:positionV>
            <wp:extent cx="1275572" cy="415175"/>
            <wp:effectExtent l="0" t="0" r="0" b="0"/>
            <wp:wrapNone/>
            <wp:docPr id="35" name="image1.jpeg"/>
            <wp:cNvGraphicFramePr>
              <a:graphicFrameLocks noChangeAspect="1"/>
            </wp:cNvGraphicFramePr>
            <a:graphic>
              <a:graphicData uri="http://schemas.openxmlformats.org/drawingml/2006/picture">
                <pic:pic>
                  <pic:nvPicPr>
                    <pic:cNvPr id="36" name="image1.jpeg"/>
                    <pic:cNvPicPr/>
                  </pic:nvPicPr>
                  <pic:blipFill>
                    <a:blip r:embed="rId92" cstate="print"/>
                    <a:stretch>
                      <a:fillRect/>
                    </a:stretch>
                  </pic:blipFill>
                  <pic:spPr>
                    <a:xfrm>
                      <a:off x="0" y="0"/>
                      <a:ext cx="1275572" cy="415175"/>
                    </a:xfrm>
                    <a:prstGeom prst="rect">
                      <a:avLst/>
                    </a:prstGeom>
                  </pic:spPr>
                </pic:pic>
              </a:graphicData>
            </a:graphic>
          </wp:anchor>
        </w:drawing>
      </w:r>
      <w:r>
        <w:rPr>
          <w:sz w:val="20"/>
        </w:rPr>
        <w:t>(27)</w:t>
      </w:r>
    </w:p>
    <w:p>
      <w:pPr>
        <w:spacing w:after="0"/>
        <w:jc w:val="left"/>
        <w:rPr>
          <w:sz w:val="20"/>
        </w:rPr>
        <w:sectPr>
          <w:headerReference w:type="default" r:id="rId112"/>
          <w:footerReference w:type="default" r:id="rId113"/>
          <w:pgSz w:w="11910" w:h="16840"/>
          <w:pgMar w:header="0" w:footer="0" w:top="620" w:bottom="280" w:left="160" w:right="220"/>
        </w:sectPr>
      </w:pPr>
    </w:p>
    <w:p>
      <w:pPr>
        <w:tabs>
          <w:tab w:pos="2198" w:val="left" w:leader="none"/>
        </w:tabs>
        <w:spacing w:line="216" w:lineRule="auto" w:before="192"/>
        <w:ind w:left="945" w:right="7204" w:hanging="843"/>
        <w:jc w:val="left"/>
        <w:rPr>
          <w:rFonts w:ascii="Palatino Linotype"/>
          <w:b/>
          <w:sz w:val="110"/>
        </w:rPr>
      </w:pPr>
      <w:r>
        <w:rPr/>
        <w:pict>
          <v:rect style="position:absolute;margin-left:0pt;margin-top:0pt;width:595.276001pt;height:841.050015pt;mso-position-horizontal-relative:page;mso-position-vertical-relative:page;z-index:-255518720" filled="true" fillcolor="#008790" stroked="false">
            <v:fill type="solid"/>
            <w10:wrap type="none"/>
          </v:rect>
        </w:pict>
      </w:r>
      <w:r>
        <w:rPr/>
        <w:pict>
          <v:group style="position:absolute;margin-left:235.276001pt;margin-top:14.844353pt;width:340.95pt;height:491.2pt;mso-position-horizontal-relative:page;mso-position-vertical-relative:paragraph;z-index:-255517696" coordorigin="4706,297" coordsize="6819,9824">
            <v:rect style="position:absolute;left:4705;top:296;width:6819;height:9824" filled="true" fillcolor="#ffffff" stroked="false">
              <v:fill type="solid"/>
            </v:rect>
            <v:shape style="position:absolute;left:4908;top:496;width:6419;height:9423" type="#_x0000_t75" stroked="false">
              <v:imagedata r:id="rId116" o:title=""/>
            </v:shape>
            <w10:wrap type="none"/>
          </v:group>
        </w:pict>
      </w:r>
      <w:r>
        <w:rPr>
          <w:rFonts w:ascii="Palatino Linotype"/>
          <w:b/>
          <w:color w:val="FFFFFF"/>
          <w:sz w:val="110"/>
        </w:rPr>
        <w:t>learning to</w:t>
        <w:tab/>
      </w:r>
      <w:r>
        <w:rPr>
          <w:rFonts w:ascii="Palatino Linotype"/>
          <w:b/>
          <w:color w:val="FFFFFF"/>
          <w:spacing w:val="-10"/>
          <w:sz w:val="110"/>
        </w:rPr>
        <w:t>love</w:t>
      </w:r>
    </w:p>
    <w:p>
      <w:pPr>
        <w:spacing w:line="216" w:lineRule="auto" w:before="453"/>
        <w:ind w:left="704" w:right="7261" w:firstLine="555"/>
        <w:jc w:val="right"/>
        <w:rPr>
          <w:rFonts w:ascii="Palatino Linotype"/>
          <w:b/>
          <w:i/>
          <w:sz w:val="36"/>
        </w:rPr>
      </w:pPr>
      <w:r>
        <w:rPr>
          <w:rFonts w:ascii="Palatino Linotype"/>
          <w:b/>
          <w:i/>
          <w:color w:val="FFFFFF"/>
          <w:sz w:val="36"/>
        </w:rPr>
        <w:t>An introduction</w:t>
      </w:r>
      <w:r>
        <w:rPr>
          <w:rFonts w:ascii="Palatino Linotype"/>
          <w:b/>
          <w:i/>
          <w:color w:val="FFFFFF"/>
          <w:spacing w:val="1"/>
          <w:sz w:val="36"/>
        </w:rPr>
        <w:t> </w:t>
      </w:r>
      <w:r>
        <w:rPr>
          <w:rFonts w:ascii="Palatino Linotype"/>
          <w:b/>
          <w:i/>
          <w:color w:val="FFFFFF"/>
          <w:spacing w:val="-9"/>
          <w:sz w:val="36"/>
        </w:rPr>
        <w:t>to</w:t>
      </w:r>
      <w:r>
        <w:rPr>
          <w:rFonts w:ascii="Palatino Linotype"/>
          <w:b/>
          <w:i/>
          <w:color w:val="FFFFFF"/>
          <w:sz w:val="36"/>
        </w:rPr>
        <w:t> Catholic</w:t>
      </w:r>
      <w:r>
        <w:rPr>
          <w:rFonts w:ascii="Palatino Linotype"/>
          <w:b/>
          <w:i/>
          <w:color w:val="FFFFFF"/>
          <w:spacing w:val="7"/>
          <w:sz w:val="36"/>
        </w:rPr>
        <w:t> </w:t>
      </w:r>
      <w:r>
        <w:rPr>
          <w:rFonts w:ascii="Palatino Linotype"/>
          <w:b/>
          <w:i/>
          <w:color w:val="FFFFFF"/>
          <w:spacing w:val="-2"/>
          <w:sz w:val="36"/>
        </w:rPr>
        <w:t>Relationship</w:t>
      </w:r>
      <w:r>
        <w:rPr>
          <w:rFonts w:ascii="Palatino Linotype"/>
          <w:b/>
          <w:i/>
          <w:color w:val="FFFFFF"/>
          <w:sz w:val="36"/>
        </w:rPr>
        <w:t> and Sex Education (RSE) for Catholic</w:t>
      </w:r>
    </w:p>
    <w:p>
      <w:pPr>
        <w:spacing w:line="455" w:lineRule="exact" w:before="0"/>
        <w:ind w:left="0" w:right="7261" w:firstLine="0"/>
        <w:jc w:val="right"/>
        <w:rPr>
          <w:rFonts w:ascii="Palatino Linotype"/>
          <w:b/>
          <w:i/>
          <w:sz w:val="36"/>
        </w:rPr>
      </w:pPr>
      <w:r>
        <w:rPr>
          <w:rFonts w:ascii="Palatino Linotype"/>
          <w:b/>
          <w:i/>
          <w:color w:val="FFFFFF"/>
          <w:sz w:val="36"/>
        </w:rPr>
        <w:t>Educators</w:t>
      </w:r>
    </w:p>
    <w:p>
      <w:pPr>
        <w:pStyle w:val="BodyText"/>
        <w:rPr>
          <w:rFonts w:ascii="Palatino Linotype"/>
          <w:b/>
          <w:i/>
          <w:sz w:val="48"/>
        </w:rPr>
      </w:pPr>
    </w:p>
    <w:p>
      <w:pPr>
        <w:pStyle w:val="BodyText"/>
        <w:rPr>
          <w:rFonts w:ascii="Palatino Linotype"/>
          <w:b/>
          <w:i/>
          <w:sz w:val="48"/>
        </w:rPr>
      </w:pPr>
    </w:p>
    <w:p>
      <w:pPr>
        <w:pStyle w:val="BodyText"/>
        <w:rPr>
          <w:rFonts w:ascii="Palatino Linotype"/>
          <w:b/>
          <w:i/>
          <w:sz w:val="48"/>
        </w:rPr>
      </w:pPr>
    </w:p>
    <w:p>
      <w:pPr>
        <w:pStyle w:val="BodyText"/>
        <w:rPr>
          <w:rFonts w:ascii="Palatino Linotype"/>
          <w:b/>
          <w:i/>
          <w:sz w:val="48"/>
        </w:rPr>
      </w:pPr>
    </w:p>
    <w:p>
      <w:pPr>
        <w:pStyle w:val="BodyText"/>
        <w:rPr>
          <w:rFonts w:ascii="Palatino Linotype"/>
          <w:b/>
          <w:i/>
          <w:sz w:val="48"/>
        </w:rPr>
      </w:pPr>
    </w:p>
    <w:p>
      <w:pPr>
        <w:pStyle w:val="BodyText"/>
        <w:rPr>
          <w:rFonts w:ascii="Palatino Linotype"/>
          <w:b/>
          <w:i/>
          <w:sz w:val="48"/>
        </w:rPr>
      </w:pPr>
    </w:p>
    <w:p>
      <w:pPr>
        <w:pStyle w:val="BodyText"/>
        <w:rPr>
          <w:rFonts w:ascii="Palatino Linotype"/>
          <w:b/>
          <w:i/>
          <w:sz w:val="48"/>
        </w:rPr>
      </w:pPr>
    </w:p>
    <w:p>
      <w:pPr>
        <w:pStyle w:val="BodyText"/>
        <w:spacing w:before="9"/>
        <w:rPr>
          <w:rFonts w:ascii="Palatino Linotype"/>
          <w:b/>
          <w:i/>
          <w:sz w:val="69"/>
        </w:rPr>
      </w:pPr>
    </w:p>
    <w:p>
      <w:pPr>
        <w:spacing w:line="216" w:lineRule="auto" w:before="0"/>
        <w:ind w:left="3206" w:right="0" w:firstLine="81"/>
        <w:jc w:val="left"/>
        <w:rPr>
          <w:rFonts w:ascii="Palatino Linotype" w:hAnsi="Palatino Linotype"/>
          <w:b/>
          <w:sz w:val="36"/>
        </w:rPr>
      </w:pPr>
      <w:r>
        <w:rPr>
          <w:rFonts w:ascii="Palatino Linotype" w:hAnsi="Palatino Linotype"/>
          <w:b/>
          <w:color w:val="FFFFFF"/>
          <w:sz w:val="36"/>
        </w:rPr>
        <w:t>Department of Catholic Education and Formation Catholic Bishops’ Conference of England &amp; Wales</w:t>
      </w:r>
    </w:p>
    <w:p>
      <w:pPr>
        <w:spacing w:after="0" w:line="216" w:lineRule="auto"/>
        <w:jc w:val="left"/>
        <w:rPr>
          <w:rFonts w:ascii="Palatino Linotype" w:hAnsi="Palatino Linotype"/>
          <w:sz w:val="36"/>
        </w:rPr>
        <w:sectPr>
          <w:headerReference w:type="default" r:id="rId114"/>
          <w:footerReference w:type="default" r:id="rId115"/>
          <w:pgSz w:w="11910" w:h="16840"/>
          <w:pgMar w:header="0" w:footer="0" w:top="1540" w:bottom="280" w:left="160" w:right="220"/>
        </w:sectPr>
      </w:pPr>
    </w:p>
    <w:p>
      <w:pPr>
        <w:pStyle w:val="BodyText"/>
        <w:rPr>
          <w:rFonts w:ascii="Palatino Linotype"/>
          <w:b/>
          <w:sz w:val="20"/>
        </w:rPr>
      </w:pPr>
    </w:p>
    <w:p>
      <w:pPr>
        <w:pStyle w:val="BodyText"/>
        <w:spacing w:before="7"/>
        <w:rPr>
          <w:rFonts w:ascii="Palatino Linotype"/>
          <w:b/>
          <w:sz w:val="16"/>
        </w:rPr>
      </w:pPr>
    </w:p>
    <w:p>
      <w:pPr>
        <w:spacing w:line="216" w:lineRule="auto" w:before="130"/>
        <w:ind w:left="4391" w:right="498" w:firstLine="4478"/>
        <w:jc w:val="right"/>
        <w:rPr>
          <w:rFonts w:ascii="Palatino Linotype" w:hAnsi="Palatino Linotype"/>
          <w:b/>
          <w:sz w:val="28"/>
        </w:rPr>
      </w:pPr>
      <w:r>
        <w:rPr>
          <w:rFonts w:ascii="Palatino Linotype" w:hAnsi="Palatino Linotype"/>
          <w:b/>
          <w:color w:val="231F20"/>
          <w:sz w:val="28"/>
        </w:rPr>
        <w:t>Learning</w:t>
      </w:r>
      <w:r>
        <w:rPr>
          <w:rFonts w:ascii="Palatino Linotype" w:hAnsi="Palatino Linotype"/>
          <w:b/>
          <w:color w:val="231F20"/>
          <w:spacing w:val="1"/>
          <w:sz w:val="28"/>
        </w:rPr>
        <w:t> </w:t>
      </w:r>
      <w:r>
        <w:rPr>
          <w:rFonts w:ascii="Palatino Linotype" w:hAnsi="Palatino Linotype"/>
          <w:b/>
          <w:color w:val="231F20"/>
          <w:sz w:val="28"/>
        </w:rPr>
        <w:t>to</w:t>
      </w:r>
      <w:r>
        <w:rPr>
          <w:rFonts w:ascii="Palatino Linotype" w:hAnsi="Palatino Linotype"/>
          <w:b/>
          <w:color w:val="231F20"/>
          <w:spacing w:val="2"/>
          <w:sz w:val="28"/>
        </w:rPr>
        <w:t> </w:t>
      </w:r>
      <w:r>
        <w:rPr>
          <w:rFonts w:ascii="Palatino Linotype" w:hAnsi="Palatino Linotype"/>
          <w:b/>
          <w:color w:val="231F20"/>
          <w:spacing w:val="-6"/>
          <w:sz w:val="28"/>
        </w:rPr>
        <w:t>Love</w:t>
      </w:r>
      <w:r>
        <w:rPr>
          <w:rFonts w:ascii="Palatino Linotype" w:hAnsi="Palatino Linotype"/>
          <w:b/>
          <w:color w:val="231F20"/>
          <w:sz w:val="28"/>
        </w:rPr>
        <w:t> Department of Catholic Education and Formation Catholic Bishops’ Conference of England and</w:t>
      </w:r>
      <w:r>
        <w:rPr>
          <w:rFonts w:ascii="Palatino Linotype" w:hAnsi="Palatino Linotype"/>
          <w:b/>
          <w:color w:val="231F20"/>
          <w:spacing w:val="3"/>
          <w:sz w:val="28"/>
        </w:rPr>
        <w:t> </w:t>
      </w:r>
      <w:r>
        <w:rPr>
          <w:rFonts w:ascii="Palatino Linotype" w:hAnsi="Palatino Linotype"/>
          <w:b/>
          <w:color w:val="231F20"/>
          <w:spacing w:val="-8"/>
          <w:sz w:val="28"/>
        </w:rPr>
        <w:t>Wales</w:t>
      </w:r>
    </w:p>
    <w:p>
      <w:pPr>
        <w:spacing w:before="316"/>
        <w:ind w:left="0" w:right="498" w:firstLine="0"/>
        <w:jc w:val="right"/>
        <w:rPr>
          <w:rFonts w:ascii="Palatino Linotype"/>
          <w:b/>
          <w:sz w:val="28"/>
        </w:rPr>
      </w:pPr>
      <w:r>
        <w:rPr>
          <w:rFonts w:ascii="Palatino Linotype"/>
          <w:b/>
          <w:color w:val="231F20"/>
          <w:sz w:val="28"/>
        </w:rPr>
        <w:t>Published March 2017</w:t>
      </w:r>
    </w:p>
    <w:p>
      <w:pPr>
        <w:spacing w:line="216" w:lineRule="auto" w:before="334"/>
        <w:ind w:left="4592" w:right="498" w:firstLine="4757"/>
        <w:jc w:val="right"/>
        <w:rPr>
          <w:rFonts w:ascii="Palatino Linotype"/>
          <w:b/>
          <w:sz w:val="28"/>
        </w:rPr>
      </w:pPr>
      <w:r>
        <w:rPr>
          <w:rFonts w:ascii="Palatino Linotype"/>
          <w:b/>
          <w:color w:val="231F20"/>
          <w:sz w:val="28"/>
        </w:rPr>
        <w:t>Cover</w:t>
      </w:r>
      <w:r>
        <w:rPr>
          <w:rFonts w:ascii="Palatino Linotype"/>
          <w:b/>
          <w:color w:val="231F20"/>
          <w:spacing w:val="-4"/>
          <w:sz w:val="28"/>
        </w:rPr>
        <w:t> </w:t>
      </w:r>
      <w:r>
        <w:rPr>
          <w:rFonts w:ascii="Palatino Linotype"/>
          <w:b/>
          <w:color w:val="231F20"/>
          <w:spacing w:val="-3"/>
          <w:sz w:val="28"/>
        </w:rPr>
        <w:t>image:</w:t>
      </w:r>
      <w:r>
        <w:rPr>
          <w:rFonts w:ascii="Palatino Linotype"/>
          <w:b/>
          <w:color w:val="231F20"/>
          <w:sz w:val="28"/>
        </w:rPr>
        <w:t> </w:t>
      </w:r>
      <w:r>
        <w:rPr>
          <w:rFonts w:ascii="Palatino Linotype"/>
          <w:b/>
          <w:color w:val="231F20"/>
          <w:spacing w:val="-7"/>
          <w:sz w:val="28"/>
        </w:rPr>
        <w:t>Two </w:t>
      </w:r>
      <w:r>
        <w:rPr>
          <w:rFonts w:ascii="Palatino Linotype"/>
          <w:b/>
          <w:color w:val="231F20"/>
          <w:sz w:val="28"/>
        </w:rPr>
        <w:t>Lovers, Vincent </w:t>
      </w:r>
      <w:r>
        <w:rPr>
          <w:rFonts w:ascii="Palatino Linotype"/>
          <w:b/>
          <w:color w:val="231F20"/>
          <w:spacing w:val="-8"/>
          <w:sz w:val="28"/>
        </w:rPr>
        <w:t>Van </w:t>
      </w:r>
      <w:r>
        <w:rPr>
          <w:rFonts w:ascii="Palatino Linotype"/>
          <w:b/>
          <w:color w:val="231F20"/>
          <w:sz w:val="28"/>
        </w:rPr>
        <w:t>Gogh (</w:t>
      </w:r>
      <w:r>
        <w:rPr>
          <w:rFonts w:ascii="Palatino Linotype"/>
          <w:b/>
          <w:i/>
          <w:color w:val="231F20"/>
          <w:sz w:val="28"/>
        </w:rPr>
        <w:t>private</w:t>
      </w:r>
      <w:r>
        <w:rPr>
          <w:rFonts w:ascii="Palatino Linotype"/>
          <w:b/>
          <w:i/>
          <w:color w:val="231F20"/>
          <w:spacing w:val="-18"/>
          <w:sz w:val="28"/>
        </w:rPr>
        <w:t> </w:t>
      </w:r>
      <w:r>
        <w:rPr>
          <w:rFonts w:ascii="Palatino Linotype"/>
          <w:b/>
          <w:i/>
          <w:color w:val="231F20"/>
          <w:sz w:val="28"/>
        </w:rPr>
        <w:t>collection</w:t>
      </w:r>
      <w:r>
        <w:rPr>
          <w:rFonts w:ascii="Palatino Linotype"/>
          <w:b/>
          <w:color w:val="231F20"/>
          <w:sz w:val="28"/>
        </w:rPr>
        <w:t>)</w:t>
      </w:r>
    </w:p>
    <w:p>
      <w:pPr>
        <w:pStyle w:val="BodyText"/>
        <w:spacing w:before="7"/>
        <w:rPr>
          <w:rFonts w:ascii="Palatino Linotype"/>
          <w:b/>
          <w:sz w:val="25"/>
        </w:rPr>
      </w:pPr>
    </w:p>
    <w:p>
      <w:pPr>
        <w:spacing w:line="216" w:lineRule="auto" w:before="0"/>
        <w:ind w:left="2902" w:right="498" w:firstLine="6683"/>
        <w:jc w:val="right"/>
        <w:rPr>
          <w:rFonts w:ascii="Palatino Linotype"/>
          <w:b/>
          <w:i/>
          <w:sz w:val="28"/>
        </w:rPr>
      </w:pPr>
      <w:r>
        <w:rPr>
          <w:rFonts w:ascii="Palatino Linotype"/>
          <w:b/>
          <w:color w:val="231F20"/>
          <w:sz w:val="28"/>
        </w:rPr>
        <w:t>Back</w:t>
      </w:r>
      <w:r>
        <w:rPr>
          <w:rFonts w:ascii="Palatino Linotype"/>
          <w:b/>
          <w:color w:val="231F20"/>
          <w:spacing w:val="1"/>
          <w:sz w:val="28"/>
        </w:rPr>
        <w:t> </w:t>
      </w:r>
      <w:r>
        <w:rPr>
          <w:rFonts w:ascii="Palatino Linotype"/>
          <w:b/>
          <w:color w:val="231F20"/>
          <w:spacing w:val="-4"/>
          <w:sz w:val="28"/>
        </w:rPr>
        <w:t>cover:</w:t>
      </w:r>
      <w:r>
        <w:rPr>
          <w:rFonts w:ascii="Palatino Linotype"/>
          <w:b/>
          <w:color w:val="231F20"/>
          <w:sz w:val="28"/>
        </w:rPr>
        <w:t> Children reading, Pekka Halonen (</w:t>
      </w:r>
      <w:r>
        <w:rPr>
          <w:rFonts w:ascii="Palatino Linotype"/>
          <w:b/>
          <w:i/>
          <w:color w:val="231F20"/>
          <w:sz w:val="28"/>
        </w:rPr>
        <w:t>Espoo Musem of Modern</w:t>
      </w:r>
      <w:r>
        <w:rPr>
          <w:rFonts w:ascii="Palatino Linotype"/>
          <w:b/>
          <w:i/>
          <w:color w:val="231F20"/>
          <w:spacing w:val="-17"/>
          <w:sz w:val="28"/>
        </w:rPr>
        <w:t> </w:t>
      </w:r>
      <w:r>
        <w:rPr>
          <w:rFonts w:ascii="Palatino Linotype"/>
          <w:b/>
          <w:i/>
          <w:color w:val="231F20"/>
          <w:spacing w:val="-5"/>
          <w:sz w:val="28"/>
        </w:rPr>
        <w:t>Art)</w:t>
      </w:r>
    </w:p>
    <w:p>
      <w:pPr>
        <w:spacing w:after="0" w:line="216" w:lineRule="auto"/>
        <w:jc w:val="right"/>
        <w:rPr>
          <w:rFonts w:ascii="Palatino Linotype"/>
          <w:sz w:val="28"/>
        </w:rPr>
        <w:sectPr>
          <w:headerReference w:type="default" r:id="rId117"/>
          <w:footerReference w:type="default" r:id="rId118"/>
          <w:pgSz w:w="11910" w:h="16840"/>
          <w:pgMar w:header="0" w:footer="0" w:top="1580" w:bottom="280" w:left="160" w:right="220"/>
        </w:sectPr>
      </w:pPr>
    </w:p>
    <w:p>
      <w:pPr>
        <w:spacing w:before="72"/>
        <w:ind w:left="924" w:right="0" w:firstLine="0"/>
        <w:jc w:val="left"/>
        <w:rPr>
          <w:rFonts w:ascii="Palatino Linotype"/>
          <w:sz w:val="48"/>
        </w:rPr>
      </w:pPr>
      <w:r>
        <w:rPr>
          <w:rFonts w:ascii="Palatino Linotype"/>
          <w:color w:val="008790"/>
          <w:sz w:val="48"/>
        </w:rPr>
        <w:t>contents</w:t>
      </w:r>
    </w:p>
    <w:p>
      <w:pPr>
        <w:pStyle w:val="BodyText"/>
        <w:rPr>
          <w:rFonts w:ascii="Palatino Linotype"/>
          <w:sz w:val="64"/>
        </w:rPr>
      </w:pPr>
    </w:p>
    <w:p>
      <w:pPr>
        <w:pStyle w:val="BodyText"/>
        <w:spacing w:before="5"/>
        <w:rPr>
          <w:rFonts w:ascii="Palatino Linotype"/>
          <w:sz w:val="49"/>
        </w:rPr>
      </w:pPr>
    </w:p>
    <w:p>
      <w:pPr>
        <w:tabs>
          <w:tab w:pos="9708" w:val="right" w:leader="none"/>
        </w:tabs>
        <w:spacing w:before="1"/>
        <w:ind w:left="888" w:right="0" w:firstLine="0"/>
        <w:jc w:val="left"/>
        <w:rPr>
          <w:rFonts w:ascii="Palatino Linotype"/>
          <w:sz w:val="36"/>
        </w:rPr>
      </w:pPr>
      <w:r>
        <w:rPr>
          <w:rFonts w:ascii="Palatino Linotype"/>
          <w:color w:val="231F20"/>
          <w:sz w:val="36"/>
        </w:rPr>
        <w:t>Introduction</w:t>
        <w:tab/>
        <w:t>2</w:t>
      </w:r>
    </w:p>
    <w:p>
      <w:pPr>
        <w:tabs>
          <w:tab w:pos="9708" w:val="right" w:leader="none"/>
        </w:tabs>
        <w:spacing w:before="392"/>
        <w:ind w:left="888" w:right="0" w:firstLine="0"/>
        <w:jc w:val="left"/>
        <w:rPr>
          <w:rFonts w:ascii="Palatino Linotype"/>
          <w:sz w:val="36"/>
        </w:rPr>
      </w:pPr>
      <w:r>
        <w:rPr>
          <w:rFonts w:ascii="Palatino Linotype"/>
          <w:color w:val="231F20"/>
          <w:sz w:val="36"/>
        </w:rPr>
        <w:t>Chapter 1 - Our Incomplete Identity</w:t>
        <w:tab/>
        <w:t>5</w:t>
      </w:r>
    </w:p>
    <w:p>
      <w:pPr>
        <w:tabs>
          <w:tab w:pos="9888" w:val="right" w:leader="none"/>
        </w:tabs>
        <w:spacing w:before="392"/>
        <w:ind w:left="888" w:right="0" w:firstLine="0"/>
        <w:jc w:val="left"/>
        <w:rPr>
          <w:rFonts w:ascii="Palatino Linotype"/>
          <w:sz w:val="36"/>
        </w:rPr>
      </w:pPr>
      <w:r>
        <w:rPr>
          <w:rFonts w:ascii="Palatino Linotype"/>
          <w:color w:val="231F20"/>
          <w:sz w:val="36"/>
        </w:rPr>
        <w:t>Chapter 2 - The Language of Desire</w:t>
        <w:tab/>
        <w:t>10</w:t>
      </w:r>
    </w:p>
    <w:p>
      <w:pPr>
        <w:tabs>
          <w:tab w:pos="9888" w:val="right" w:leader="none"/>
        </w:tabs>
        <w:spacing w:before="392"/>
        <w:ind w:left="888" w:right="0" w:firstLine="0"/>
        <w:jc w:val="left"/>
        <w:rPr>
          <w:rFonts w:ascii="Palatino Linotype"/>
          <w:sz w:val="36"/>
        </w:rPr>
      </w:pPr>
      <w:r>
        <w:rPr>
          <w:rFonts w:ascii="Palatino Linotype"/>
          <w:color w:val="231F20"/>
          <w:sz w:val="36"/>
        </w:rPr>
        <w:t>Chapter 3 -</w:t>
      </w:r>
      <w:r>
        <w:rPr>
          <w:rFonts w:ascii="Palatino Linotype"/>
          <w:color w:val="231F20"/>
          <w:spacing w:val="-14"/>
          <w:sz w:val="36"/>
        </w:rPr>
        <w:t> </w:t>
      </w:r>
      <w:r>
        <w:rPr>
          <w:rFonts w:ascii="Palatino Linotype"/>
          <w:color w:val="231F20"/>
          <w:sz w:val="36"/>
        </w:rPr>
        <w:t>Appreciative</w:t>
      </w:r>
      <w:r>
        <w:rPr>
          <w:rFonts w:ascii="Palatino Linotype"/>
          <w:color w:val="231F20"/>
          <w:spacing w:val="-1"/>
          <w:sz w:val="36"/>
        </w:rPr>
        <w:t> </w:t>
      </w:r>
      <w:r>
        <w:rPr>
          <w:rFonts w:ascii="Palatino Linotype"/>
          <w:color w:val="231F20"/>
          <w:sz w:val="36"/>
        </w:rPr>
        <w:t>Love</w:t>
        <w:tab/>
        <w:t>15</w:t>
      </w:r>
    </w:p>
    <w:p>
      <w:pPr>
        <w:tabs>
          <w:tab w:pos="9888" w:val="right" w:leader="none"/>
        </w:tabs>
        <w:spacing w:before="393"/>
        <w:ind w:left="888" w:right="0" w:firstLine="0"/>
        <w:jc w:val="left"/>
        <w:rPr>
          <w:rFonts w:ascii="Palatino Linotype"/>
          <w:sz w:val="36"/>
        </w:rPr>
      </w:pPr>
      <w:r>
        <w:rPr>
          <w:rFonts w:ascii="Palatino Linotype"/>
          <w:color w:val="231F20"/>
          <w:sz w:val="36"/>
        </w:rPr>
        <w:t>Chapter 4 - Honouring the Body</w:t>
        <w:tab/>
        <w:t>18</w:t>
      </w:r>
    </w:p>
    <w:p>
      <w:pPr>
        <w:tabs>
          <w:tab w:pos="9888" w:val="right" w:leader="none"/>
        </w:tabs>
        <w:spacing w:before="392"/>
        <w:ind w:left="888" w:right="0" w:firstLine="0"/>
        <w:jc w:val="left"/>
        <w:rPr>
          <w:rFonts w:ascii="Palatino Linotype"/>
          <w:sz w:val="36"/>
        </w:rPr>
      </w:pPr>
      <w:r>
        <w:rPr>
          <w:rFonts w:ascii="Palatino Linotype"/>
          <w:color w:val="231F20"/>
          <w:sz w:val="36"/>
        </w:rPr>
        <w:t>Conclusion</w:t>
        <w:tab/>
        <w:t>22</w:t>
      </w:r>
    </w:p>
    <w:p>
      <w:pPr>
        <w:tabs>
          <w:tab w:pos="9888" w:val="right" w:leader="none"/>
        </w:tabs>
        <w:spacing w:before="392"/>
        <w:ind w:left="888" w:right="0" w:firstLine="0"/>
        <w:jc w:val="left"/>
        <w:rPr>
          <w:rFonts w:ascii="Palatino Linotype"/>
          <w:sz w:val="36"/>
        </w:rPr>
      </w:pPr>
      <w:r>
        <w:rPr>
          <w:rFonts w:ascii="Palatino Linotype"/>
          <w:color w:val="231F20"/>
          <w:sz w:val="36"/>
        </w:rPr>
        <w:t>Further Reading</w:t>
        <w:tab/>
        <w:t>23</w:t>
      </w:r>
    </w:p>
    <w:p>
      <w:pPr>
        <w:spacing w:after="0"/>
        <w:jc w:val="left"/>
        <w:rPr>
          <w:rFonts w:ascii="Palatino Linotype"/>
          <w:sz w:val="36"/>
        </w:rPr>
        <w:sectPr>
          <w:headerReference w:type="default" r:id="rId119"/>
          <w:footerReference w:type="default" r:id="rId120"/>
          <w:pgSz w:w="11910" w:h="16840"/>
          <w:pgMar w:header="0" w:footer="853" w:top="1100" w:bottom="1040" w:left="160" w:right="220"/>
          <w:pgNumType w:start="1"/>
        </w:sectPr>
      </w:pPr>
    </w:p>
    <w:p>
      <w:pPr>
        <w:spacing w:before="86"/>
        <w:ind w:left="799" w:right="0" w:firstLine="0"/>
        <w:jc w:val="left"/>
        <w:rPr>
          <w:rFonts w:ascii="Palatino Linotype"/>
          <w:sz w:val="48"/>
        </w:rPr>
      </w:pPr>
      <w:r>
        <w:rPr>
          <w:rFonts w:ascii="Palatino Linotype"/>
          <w:color w:val="008790"/>
          <w:sz w:val="48"/>
        </w:rPr>
        <w:t>introduction</w:t>
      </w:r>
    </w:p>
    <w:p>
      <w:pPr>
        <w:pStyle w:val="Heading5"/>
        <w:spacing w:line="216" w:lineRule="auto" w:before="349"/>
        <w:ind w:left="803" w:right="855"/>
      </w:pPr>
      <w:r>
        <w:rPr>
          <w:color w:val="231F20"/>
        </w:rPr>
        <w:t>On</w:t>
      </w:r>
      <w:r>
        <w:rPr>
          <w:color w:val="231F20"/>
          <w:spacing w:val="-12"/>
        </w:rPr>
        <w:t> </w:t>
      </w:r>
      <w:r>
        <w:rPr>
          <w:color w:val="231F20"/>
          <w:spacing w:val="-3"/>
        </w:rPr>
        <w:t>20th</w:t>
      </w:r>
      <w:r>
        <w:rPr>
          <w:color w:val="231F20"/>
          <w:spacing w:val="-11"/>
        </w:rPr>
        <w:t> </w:t>
      </w:r>
      <w:r>
        <w:rPr>
          <w:color w:val="231F20"/>
          <w:spacing w:val="-3"/>
        </w:rPr>
        <w:t>March</w:t>
      </w:r>
      <w:r>
        <w:rPr>
          <w:color w:val="231F20"/>
          <w:spacing w:val="-11"/>
        </w:rPr>
        <w:t> </w:t>
      </w:r>
      <w:r>
        <w:rPr>
          <w:color w:val="231F20"/>
          <w:spacing w:val="-3"/>
        </w:rPr>
        <w:t>2016</w:t>
      </w:r>
      <w:r>
        <w:rPr>
          <w:color w:val="231F20"/>
          <w:spacing w:val="-11"/>
        </w:rPr>
        <w:t> </w:t>
      </w:r>
      <w:r>
        <w:rPr>
          <w:color w:val="231F20"/>
          <w:spacing w:val="-3"/>
        </w:rPr>
        <w:t>Pope</w:t>
      </w:r>
      <w:r>
        <w:rPr>
          <w:color w:val="231F20"/>
          <w:spacing w:val="-11"/>
        </w:rPr>
        <w:t> </w:t>
      </w:r>
      <w:r>
        <w:rPr>
          <w:color w:val="231F20"/>
          <w:spacing w:val="-3"/>
        </w:rPr>
        <w:t>Francis</w:t>
      </w:r>
      <w:r>
        <w:rPr>
          <w:color w:val="231F20"/>
          <w:spacing w:val="-11"/>
        </w:rPr>
        <w:t> </w:t>
      </w:r>
      <w:r>
        <w:rPr>
          <w:color w:val="231F20"/>
          <w:spacing w:val="-3"/>
        </w:rPr>
        <w:t>published</w:t>
      </w:r>
      <w:r>
        <w:rPr>
          <w:color w:val="231F20"/>
          <w:spacing w:val="-12"/>
        </w:rPr>
        <w:t> </w:t>
      </w:r>
      <w:r>
        <w:rPr>
          <w:color w:val="231F20"/>
        </w:rPr>
        <w:t>a</w:t>
      </w:r>
      <w:r>
        <w:rPr>
          <w:color w:val="231F20"/>
          <w:spacing w:val="-11"/>
        </w:rPr>
        <w:t> </w:t>
      </w:r>
      <w:r>
        <w:rPr>
          <w:color w:val="231F20"/>
          <w:spacing w:val="-3"/>
        </w:rPr>
        <w:t>document</w:t>
      </w:r>
      <w:r>
        <w:rPr>
          <w:color w:val="231F20"/>
          <w:spacing w:val="-11"/>
        </w:rPr>
        <w:t> </w:t>
      </w:r>
      <w:r>
        <w:rPr>
          <w:color w:val="231F20"/>
          <w:spacing w:val="-3"/>
        </w:rPr>
        <w:t>which</w:t>
      </w:r>
      <w:r>
        <w:rPr>
          <w:color w:val="231F20"/>
          <w:spacing w:val="-11"/>
        </w:rPr>
        <w:t> </w:t>
      </w:r>
      <w:r>
        <w:rPr>
          <w:color w:val="231F20"/>
        </w:rPr>
        <w:t>he</w:t>
      </w:r>
      <w:r>
        <w:rPr>
          <w:color w:val="231F20"/>
          <w:spacing w:val="-11"/>
        </w:rPr>
        <w:t> </w:t>
      </w:r>
      <w:r>
        <w:rPr>
          <w:color w:val="231F20"/>
          <w:spacing w:val="-3"/>
        </w:rPr>
        <w:t>entitled</w:t>
      </w:r>
      <w:r>
        <w:rPr>
          <w:color w:val="231F20"/>
          <w:spacing w:val="-11"/>
        </w:rPr>
        <w:t> </w:t>
      </w:r>
      <w:r>
        <w:rPr>
          <w:i/>
          <w:color w:val="231F20"/>
          <w:spacing w:val="-3"/>
        </w:rPr>
        <w:t>Amoris </w:t>
      </w:r>
      <w:r>
        <w:rPr>
          <w:i/>
          <w:color w:val="231F20"/>
        </w:rPr>
        <w:t>Laetitia</w:t>
      </w:r>
      <w:r>
        <w:rPr>
          <w:i/>
          <w:color w:val="231F20"/>
          <w:spacing w:val="-11"/>
        </w:rPr>
        <w:t> </w:t>
      </w:r>
      <w:r>
        <w:rPr>
          <w:color w:val="231F20"/>
        </w:rPr>
        <w:t>(The</w:t>
      </w:r>
      <w:r>
        <w:rPr>
          <w:color w:val="231F20"/>
          <w:spacing w:val="-10"/>
        </w:rPr>
        <w:t> </w:t>
      </w:r>
      <w:r>
        <w:rPr>
          <w:color w:val="231F20"/>
        </w:rPr>
        <w:t>Joy</w:t>
      </w:r>
      <w:r>
        <w:rPr>
          <w:color w:val="231F20"/>
          <w:spacing w:val="-11"/>
        </w:rPr>
        <w:t> </w:t>
      </w:r>
      <w:r>
        <w:rPr>
          <w:color w:val="231F20"/>
        </w:rPr>
        <w:t>of</w:t>
      </w:r>
      <w:r>
        <w:rPr>
          <w:color w:val="231F20"/>
          <w:spacing w:val="-10"/>
        </w:rPr>
        <w:t> </w:t>
      </w:r>
      <w:r>
        <w:rPr>
          <w:color w:val="231F20"/>
        </w:rPr>
        <w:t>Love)</w:t>
      </w:r>
      <w:r>
        <w:rPr>
          <w:color w:val="231F20"/>
          <w:spacing w:val="-10"/>
        </w:rPr>
        <w:t> </w:t>
      </w:r>
      <w:r>
        <w:rPr>
          <w:color w:val="231F20"/>
        </w:rPr>
        <w:t>.</w:t>
      </w:r>
      <w:r>
        <w:rPr>
          <w:color w:val="231F20"/>
          <w:spacing w:val="-11"/>
        </w:rPr>
        <w:t> </w:t>
      </w:r>
      <w:r>
        <w:rPr>
          <w:color w:val="231F20"/>
        </w:rPr>
        <w:t>In</w:t>
      </w:r>
      <w:r>
        <w:rPr>
          <w:color w:val="231F20"/>
          <w:spacing w:val="-10"/>
        </w:rPr>
        <w:t> </w:t>
      </w:r>
      <w:r>
        <w:rPr>
          <w:color w:val="231F20"/>
        </w:rPr>
        <w:t>this</w:t>
      </w:r>
      <w:r>
        <w:rPr>
          <w:color w:val="231F20"/>
          <w:spacing w:val="-10"/>
        </w:rPr>
        <w:t> </w:t>
      </w:r>
      <w:r>
        <w:rPr>
          <w:color w:val="231F20"/>
        </w:rPr>
        <w:t>teaching</w:t>
      </w:r>
      <w:r>
        <w:rPr>
          <w:color w:val="231F20"/>
          <w:spacing w:val="-11"/>
        </w:rPr>
        <w:t> </w:t>
      </w:r>
      <w:r>
        <w:rPr>
          <w:color w:val="231F20"/>
        </w:rPr>
        <w:t>document,</w:t>
      </w:r>
      <w:r>
        <w:rPr>
          <w:color w:val="231F20"/>
          <w:spacing w:val="-10"/>
        </w:rPr>
        <w:t> </w:t>
      </w:r>
      <w:r>
        <w:rPr>
          <w:color w:val="231F20"/>
        </w:rPr>
        <w:t>the</w:t>
      </w:r>
      <w:r>
        <w:rPr>
          <w:color w:val="231F20"/>
          <w:spacing w:val="-11"/>
        </w:rPr>
        <w:t> </w:t>
      </w:r>
      <w:r>
        <w:rPr>
          <w:color w:val="231F20"/>
        </w:rPr>
        <w:t>Pope</w:t>
      </w:r>
      <w:r>
        <w:rPr>
          <w:color w:val="231F20"/>
          <w:spacing w:val="-10"/>
        </w:rPr>
        <w:t> </w:t>
      </w:r>
      <w:r>
        <w:rPr>
          <w:color w:val="231F20"/>
        </w:rPr>
        <w:t>gathered</w:t>
      </w:r>
      <w:r>
        <w:rPr>
          <w:color w:val="231F20"/>
          <w:spacing w:val="-10"/>
        </w:rPr>
        <w:t> </w:t>
      </w:r>
      <w:r>
        <w:rPr>
          <w:color w:val="231F20"/>
        </w:rPr>
        <w:t>together the fruits of reﬂections and discussions with Bishops and theologians from all over the world on a broad range of issues aﬀecting family life. It is an inspirational</w:t>
      </w:r>
      <w:r>
        <w:rPr>
          <w:color w:val="231F20"/>
          <w:spacing w:val="-18"/>
        </w:rPr>
        <w:t> </w:t>
      </w:r>
      <w:r>
        <w:rPr>
          <w:color w:val="231F20"/>
        </w:rPr>
        <w:t>document,</w:t>
      </w:r>
      <w:r>
        <w:rPr>
          <w:color w:val="231F20"/>
          <w:spacing w:val="-17"/>
        </w:rPr>
        <w:t> </w:t>
      </w:r>
      <w:r>
        <w:rPr>
          <w:color w:val="231F20"/>
        </w:rPr>
        <w:t>rich</w:t>
      </w:r>
      <w:r>
        <w:rPr>
          <w:color w:val="231F20"/>
          <w:spacing w:val="-17"/>
        </w:rPr>
        <w:t> </w:t>
      </w:r>
      <w:r>
        <w:rPr>
          <w:color w:val="231F20"/>
        </w:rPr>
        <w:t>with</w:t>
      </w:r>
      <w:r>
        <w:rPr>
          <w:color w:val="231F20"/>
          <w:spacing w:val="-17"/>
        </w:rPr>
        <w:t> </w:t>
      </w:r>
      <w:r>
        <w:rPr>
          <w:color w:val="231F20"/>
        </w:rPr>
        <w:t>insights</w:t>
      </w:r>
      <w:r>
        <w:rPr>
          <w:color w:val="231F20"/>
          <w:spacing w:val="-18"/>
        </w:rPr>
        <w:t> </w:t>
      </w:r>
      <w:r>
        <w:rPr>
          <w:color w:val="231F20"/>
        </w:rPr>
        <w:t>and</w:t>
      </w:r>
      <w:r>
        <w:rPr>
          <w:color w:val="231F20"/>
          <w:spacing w:val="-17"/>
        </w:rPr>
        <w:t> </w:t>
      </w:r>
      <w:r>
        <w:rPr>
          <w:color w:val="231F20"/>
        </w:rPr>
        <w:t>fresh</w:t>
      </w:r>
      <w:r>
        <w:rPr>
          <w:color w:val="231F20"/>
          <w:spacing w:val="37"/>
        </w:rPr>
        <w:t> </w:t>
      </w:r>
      <w:r>
        <w:rPr>
          <w:color w:val="231F20"/>
        </w:rPr>
        <w:t>descriptions</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Church's teaching on this vital subject.</w:t>
      </w:r>
    </w:p>
    <w:p>
      <w:pPr>
        <w:pStyle w:val="BodyText"/>
        <w:rPr>
          <w:rFonts w:ascii="Palatino Linotype"/>
          <w:sz w:val="26"/>
        </w:rPr>
      </w:pPr>
    </w:p>
    <w:p>
      <w:pPr>
        <w:pStyle w:val="Heading5"/>
        <w:spacing w:line="216" w:lineRule="auto"/>
        <w:ind w:left="803" w:right="855"/>
      </w:pPr>
      <w:r>
        <w:rPr>
          <w:color w:val="231F20"/>
        </w:rPr>
        <w:t>The publication of </w:t>
      </w:r>
      <w:r>
        <w:rPr>
          <w:i/>
          <w:color w:val="231F20"/>
        </w:rPr>
        <w:t>Amoris Laetitia </w:t>
      </w:r>
      <w:r>
        <w:rPr>
          <w:color w:val="231F20"/>
        </w:rPr>
        <w:t>coincided with Pope Francis’ Year of Mercy which drew to an end in November 2016. It is very appropriate that this theme of mercy should permeate </w:t>
      </w:r>
      <w:r>
        <w:rPr>
          <w:i/>
          <w:color w:val="231F20"/>
        </w:rPr>
        <w:t>Amoris Laetitia, </w:t>
      </w:r>
      <w:r>
        <w:rPr>
          <w:color w:val="231F20"/>
        </w:rPr>
        <w:t>because however much joy there is in loving, diﬃculties and failures are commonplace in every relationship.</w:t>
      </w:r>
    </w:p>
    <w:p>
      <w:pPr>
        <w:pStyle w:val="BodyText"/>
        <w:spacing w:before="9"/>
        <w:rPr>
          <w:rFonts w:ascii="Palatino Linotype"/>
          <w:sz w:val="25"/>
        </w:rPr>
      </w:pPr>
    </w:p>
    <w:p>
      <w:pPr>
        <w:pStyle w:val="Heading5"/>
        <w:spacing w:line="216" w:lineRule="auto" w:before="1"/>
        <w:ind w:left="803" w:right="855"/>
      </w:pPr>
      <w:r>
        <w:rPr>
          <w:color w:val="231F20"/>
        </w:rPr>
        <w:t>Pope Francis devotes the seventh chapter of </w:t>
      </w:r>
      <w:r>
        <w:rPr>
          <w:i/>
          <w:color w:val="231F20"/>
        </w:rPr>
        <w:t>Amoris Laetitia </w:t>
      </w:r>
      <w:r>
        <w:rPr>
          <w:color w:val="231F20"/>
        </w:rPr>
        <w:t>to the diﬃculties young</w:t>
      </w:r>
      <w:r>
        <w:rPr>
          <w:color w:val="231F20"/>
          <w:spacing w:val="-19"/>
        </w:rPr>
        <w:t> </w:t>
      </w:r>
      <w:r>
        <w:rPr>
          <w:color w:val="231F20"/>
        </w:rPr>
        <w:t>people</w:t>
      </w:r>
      <w:r>
        <w:rPr>
          <w:color w:val="231F20"/>
          <w:spacing w:val="-19"/>
        </w:rPr>
        <w:t> </w:t>
      </w:r>
      <w:r>
        <w:rPr>
          <w:color w:val="231F20"/>
        </w:rPr>
        <w:t>face</w:t>
      </w:r>
      <w:r>
        <w:rPr>
          <w:color w:val="231F20"/>
          <w:spacing w:val="-18"/>
        </w:rPr>
        <w:t> </w:t>
      </w:r>
      <w:r>
        <w:rPr>
          <w:color w:val="231F20"/>
        </w:rPr>
        <w:t>in</w:t>
      </w:r>
      <w:r>
        <w:rPr>
          <w:color w:val="231F20"/>
          <w:spacing w:val="-19"/>
        </w:rPr>
        <w:t> </w:t>
      </w:r>
      <w:r>
        <w:rPr>
          <w:color w:val="231F20"/>
        </w:rPr>
        <w:t>ﬁnding</w:t>
      </w:r>
      <w:r>
        <w:rPr>
          <w:color w:val="231F20"/>
          <w:spacing w:val="-19"/>
        </w:rPr>
        <w:t> </w:t>
      </w:r>
      <w:r>
        <w:rPr>
          <w:color w:val="231F20"/>
          <w:spacing w:val="-4"/>
        </w:rPr>
        <w:t>ways</w:t>
      </w:r>
      <w:r>
        <w:rPr>
          <w:color w:val="231F20"/>
          <w:spacing w:val="-18"/>
        </w:rPr>
        <w:t> </w:t>
      </w:r>
      <w:r>
        <w:rPr>
          <w:color w:val="231F20"/>
        </w:rPr>
        <w:t>to</w:t>
      </w:r>
      <w:r>
        <w:rPr>
          <w:color w:val="231F20"/>
          <w:spacing w:val="-19"/>
        </w:rPr>
        <w:t> </w:t>
      </w:r>
      <w:r>
        <w:rPr>
          <w:color w:val="231F20"/>
        </w:rPr>
        <w:t>express</w:t>
      </w:r>
      <w:r>
        <w:rPr>
          <w:color w:val="231F20"/>
          <w:spacing w:val="-18"/>
        </w:rPr>
        <w:t> </w:t>
      </w:r>
      <w:r>
        <w:rPr>
          <w:color w:val="231F20"/>
        </w:rPr>
        <w:t>and</w:t>
      </w:r>
      <w:r>
        <w:rPr>
          <w:color w:val="231F20"/>
          <w:spacing w:val="-19"/>
        </w:rPr>
        <w:t> </w:t>
      </w:r>
      <w:r>
        <w:rPr>
          <w:color w:val="231F20"/>
        </w:rPr>
        <w:t>experience</w:t>
      </w:r>
      <w:r>
        <w:rPr>
          <w:color w:val="231F20"/>
          <w:spacing w:val="-19"/>
        </w:rPr>
        <w:t> </w:t>
      </w:r>
      <w:r>
        <w:rPr>
          <w:color w:val="231F20"/>
          <w:spacing w:val="-3"/>
        </w:rPr>
        <w:t>love</w:t>
      </w:r>
      <w:r>
        <w:rPr>
          <w:color w:val="231F20"/>
          <w:spacing w:val="-18"/>
        </w:rPr>
        <w:t> </w:t>
      </w:r>
      <w:r>
        <w:rPr>
          <w:color w:val="231F20"/>
        </w:rPr>
        <w:t>that</w:t>
      </w:r>
      <w:r>
        <w:rPr>
          <w:color w:val="231F20"/>
          <w:spacing w:val="-19"/>
        </w:rPr>
        <w:t> </w:t>
      </w:r>
      <w:r>
        <w:rPr>
          <w:color w:val="231F20"/>
        </w:rPr>
        <w:t>brings</w:t>
      </w:r>
      <w:r>
        <w:rPr>
          <w:color w:val="231F20"/>
          <w:spacing w:val="-18"/>
        </w:rPr>
        <w:t> </w:t>
      </w:r>
      <w:r>
        <w:rPr>
          <w:color w:val="231F20"/>
        </w:rPr>
        <w:t>true joy, rather than insecurity and anguish. And a challenge is</w:t>
      </w:r>
      <w:r>
        <w:rPr>
          <w:color w:val="231F20"/>
          <w:spacing w:val="-11"/>
        </w:rPr>
        <w:t> </w:t>
      </w:r>
      <w:r>
        <w:rPr>
          <w:color w:val="231F20"/>
        </w:rPr>
        <w:t>issued:</w:t>
      </w:r>
    </w:p>
    <w:p>
      <w:pPr>
        <w:pStyle w:val="BodyText"/>
        <w:spacing w:before="8"/>
        <w:rPr>
          <w:rFonts w:ascii="Palatino Linotype"/>
          <w:sz w:val="34"/>
        </w:rPr>
      </w:pPr>
    </w:p>
    <w:p>
      <w:pPr>
        <w:pStyle w:val="Heading6"/>
        <w:spacing w:line="216" w:lineRule="auto"/>
        <w:ind w:left="1233" w:right="867" w:firstLine="827"/>
      </w:pPr>
      <w:r>
        <w:rPr>
          <w:i/>
          <w:color w:val="231F20"/>
        </w:rPr>
        <w:t>The Second </w:t>
      </w:r>
      <w:r>
        <w:rPr>
          <w:i/>
          <w:color w:val="231F20"/>
          <w:spacing w:val="-4"/>
        </w:rPr>
        <w:t>Vatican </w:t>
      </w:r>
      <w:r>
        <w:rPr>
          <w:i/>
          <w:color w:val="231F20"/>
        </w:rPr>
        <w:t>Council spoke of the need for ‘a positive and</w:t>
      </w:r>
      <w:r>
        <w:rPr>
          <w:i/>
          <w:color w:val="231F20"/>
          <w:spacing w:val="5"/>
        </w:rPr>
        <w:t> </w:t>
      </w:r>
      <w:r>
        <w:rPr>
          <w:i/>
          <w:color w:val="231F20"/>
        </w:rPr>
        <w:t>prudent </w:t>
      </w:r>
      <w:r>
        <w:rPr>
          <w:i/>
          <w:color w:val="231F20"/>
          <w:spacing w:val="-6"/>
        </w:rPr>
        <w:t>sex</w:t>
      </w:r>
      <w:r>
        <w:rPr>
          <w:color w:val="231F20"/>
        </w:rPr>
        <w:t> education’ to be imparted to children and adolescents ‘as they grow older’...</w:t>
      </w:r>
      <w:r>
        <w:rPr>
          <w:color w:val="231F20"/>
          <w:spacing w:val="-3"/>
        </w:rPr>
        <w:t> </w:t>
      </w:r>
      <w:r>
        <w:rPr>
          <w:color w:val="231F20"/>
          <w:spacing w:val="-10"/>
        </w:rPr>
        <w:t>We</w:t>
      </w:r>
      <w:r>
        <w:rPr>
          <w:color w:val="231F20"/>
        </w:rPr>
        <w:t> </w:t>
      </w:r>
      <w:r>
        <w:rPr>
          <w:color w:val="231F20"/>
          <w:spacing w:val="-6"/>
        </w:rPr>
        <w:t>may</w:t>
      </w:r>
      <w:r>
        <w:rPr>
          <w:color w:val="231F20"/>
        </w:rPr>
        <w:t> well ask ourselves if our educational institutions have taken up this</w:t>
      </w:r>
      <w:r>
        <w:rPr>
          <w:color w:val="231F20"/>
          <w:spacing w:val="-15"/>
        </w:rPr>
        <w:t> </w:t>
      </w:r>
      <w:r>
        <w:rPr>
          <w:color w:val="231F20"/>
        </w:rPr>
        <w:t>challenge.’</w:t>
      </w:r>
    </w:p>
    <w:p>
      <w:pPr>
        <w:pStyle w:val="Heading5"/>
        <w:spacing w:line="353" w:lineRule="exact"/>
        <w:ind w:right="867"/>
        <w:jc w:val="right"/>
      </w:pPr>
      <w:r>
        <w:rPr>
          <w:color w:val="231F20"/>
        </w:rPr>
        <w:t>Amoris Laetitia </w:t>
      </w:r>
      <w:r>
        <w:rPr>
          <w:color w:val="231F20"/>
          <w:spacing w:val="-6"/>
        </w:rPr>
        <w:t>(AL)</w:t>
      </w:r>
      <w:r>
        <w:rPr>
          <w:color w:val="231F20"/>
          <w:spacing w:val="3"/>
        </w:rPr>
        <w:t> </w:t>
      </w:r>
      <w:r>
        <w:rPr>
          <w:color w:val="231F20"/>
        </w:rPr>
        <w:t>280</w:t>
      </w:r>
    </w:p>
    <w:p>
      <w:pPr>
        <w:pStyle w:val="BodyText"/>
        <w:spacing w:before="3"/>
        <w:rPr>
          <w:rFonts w:ascii="Palatino Linotype"/>
          <w:sz w:val="13"/>
        </w:rPr>
      </w:pPr>
    </w:p>
    <w:p>
      <w:pPr>
        <w:spacing w:after="0"/>
        <w:rPr>
          <w:rFonts w:ascii="Palatino Linotype"/>
          <w:sz w:val="13"/>
        </w:rPr>
        <w:sectPr>
          <w:headerReference w:type="default" r:id="rId121"/>
          <w:footerReference w:type="default" r:id="rId122"/>
          <w:pgSz w:w="11910" w:h="16840"/>
          <w:pgMar w:header="0" w:footer="877" w:top="820" w:bottom="1060" w:left="160" w:right="220"/>
          <w:pgNumType w:start="2"/>
        </w:sectPr>
      </w:pPr>
    </w:p>
    <w:p>
      <w:pPr>
        <w:spacing w:line="216" w:lineRule="auto" w:before="150"/>
        <w:ind w:left="817" w:right="0" w:firstLine="0"/>
        <w:jc w:val="left"/>
        <w:rPr>
          <w:rFonts w:ascii="Palatino Linotype" w:hAnsi="Palatino Linotype"/>
          <w:b/>
          <w:i/>
          <w:sz w:val="48"/>
        </w:rPr>
      </w:pPr>
      <w:r>
        <w:rPr>
          <w:rFonts w:ascii="Palatino Linotype" w:hAnsi="Palatino Linotype"/>
          <w:b/>
          <w:i/>
          <w:color w:val="008790"/>
          <w:spacing w:val="-18"/>
          <w:sz w:val="48"/>
        </w:rPr>
        <w:t>“All </w:t>
      </w:r>
      <w:r>
        <w:rPr>
          <w:rFonts w:ascii="Palatino Linotype" w:hAnsi="Palatino Linotype"/>
          <w:b/>
          <w:i/>
          <w:color w:val="008790"/>
          <w:sz w:val="48"/>
        </w:rPr>
        <w:t>of us spend our </w:t>
      </w:r>
      <w:r>
        <w:rPr>
          <w:rFonts w:ascii="Palatino Linotype" w:hAnsi="Palatino Linotype"/>
          <w:b/>
          <w:i/>
          <w:color w:val="008790"/>
          <w:sz w:val="48"/>
        </w:rPr>
        <w:t>entire lives learning how to love. </w:t>
      </w:r>
      <w:r>
        <w:rPr>
          <w:rFonts w:ascii="Palatino Linotype" w:hAnsi="Palatino Linotype"/>
          <w:b/>
          <w:i/>
          <w:color w:val="008790"/>
          <w:spacing w:val="-16"/>
          <w:sz w:val="48"/>
        </w:rPr>
        <w:t>We </w:t>
      </w:r>
      <w:r>
        <w:rPr>
          <w:rFonts w:ascii="Palatino Linotype" w:hAnsi="Palatino Linotype"/>
          <w:b/>
          <w:i/>
          <w:color w:val="008790"/>
          <w:spacing w:val="-6"/>
          <w:sz w:val="48"/>
        </w:rPr>
        <w:t>never </w:t>
      </w:r>
      <w:r>
        <w:rPr>
          <w:rFonts w:ascii="Palatino Linotype" w:hAnsi="Palatino Linotype"/>
          <w:b/>
          <w:i/>
          <w:color w:val="008790"/>
          <w:sz w:val="48"/>
        </w:rPr>
        <w:t>stop learning...”</w:t>
      </w:r>
    </w:p>
    <w:p>
      <w:pPr>
        <w:pStyle w:val="Heading5"/>
        <w:spacing w:line="216" w:lineRule="auto" w:before="198"/>
        <w:ind w:left="188" w:right="820"/>
      </w:pPr>
      <w:r>
        <w:rPr/>
        <w:br w:type="column"/>
      </w:r>
      <w:r>
        <w:rPr>
          <w:color w:val="231F20"/>
        </w:rPr>
        <w:t>To mark the ﬁrst anniversary of </w:t>
      </w:r>
      <w:r>
        <w:rPr>
          <w:i/>
          <w:color w:val="231F20"/>
        </w:rPr>
        <w:t>Amoris </w:t>
      </w:r>
      <w:r>
        <w:rPr>
          <w:i/>
          <w:color w:val="231F20"/>
        </w:rPr>
        <w:t>Laetitia, </w:t>
      </w:r>
      <w:r>
        <w:rPr>
          <w:color w:val="231F20"/>
        </w:rPr>
        <w:t>we have taken up this challenge to guide all of those charged with helping young people in particular to confront these diﬃculties. We oﬀer this document as an introduction to the subject, and have given it the title </w:t>
      </w:r>
      <w:r>
        <w:rPr>
          <w:i/>
          <w:color w:val="231F20"/>
        </w:rPr>
        <w:t>Learning to Love</w:t>
      </w:r>
      <w:r>
        <w:rPr>
          <w:color w:val="231F20"/>
        </w:rPr>
        <w:t>.</w:t>
      </w:r>
    </w:p>
    <w:p>
      <w:pPr>
        <w:spacing w:after="0" w:line="216" w:lineRule="auto"/>
        <w:sectPr>
          <w:type w:val="continuous"/>
          <w:pgSz w:w="11910" w:h="16840"/>
          <w:pgMar w:top="1320" w:bottom="1640" w:left="160" w:right="220"/>
          <w:cols w:num="2" w:equalWidth="0">
            <w:col w:w="5504" w:space="40"/>
            <w:col w:w="5986"/>
          </w:cols>
        </w:sectPr>
      </w:pPr>
    </w:p>
    <w:p>
      <w:pPr>
        <w:pStyle w:val="Heading5"/>
        <w:spacing w:line="216" w:lineRule="auto" w:before="205"/>
        <w:ind w:left="786" w:right="825"/>
      </w:pPr>
      <w:r>
        <w:rPr>
          <w:color w:val="231F20"/>
        </w:rPr>
        <w:t>All of us spend our entire lives learning how to love. </w:t>
      </w:r>
      <w:r>
        <w:rPr>
          <w:color w:val="231F20"/>
          <w:spacing w:val="-8"/>
        </w:rPr>
        <w:t>We </w:t>
      </w:r>
      <w:r>
        <w:rPr>
          <w:color w:val="231F20"/>
        </w:rPr>
        <w:t>never stop learning because all of our eﬀorts will be imperfect, since we are imperfect human creatures, essentially in need of the grace of God and of His merciful healing. Marital love, which lies at the heart of </w:t>
      </w:r>
      <w:r>
        <w:rPr>
          <w:i/>
          <w:color w:val="231F20"/>
        </w:rPr>
        <w:t>Amoris Laetitia</w:t>
      </w:r>
      <w:r>
        <w:rPr>
          <w:color w:val="231F20"/>
        </w:rPr>
        <w:t>, and which </w:t>
      </w:r>
      <w:r>
        <w:rPr>
          <w:color w:val="231F20"/>
          <w:spacing w:val="-3"/>
        </w:rPr>
        <w:t>we </w:t>
      </w:r>
      <w:r>
        <w:rPr>
          <w:color w:val="231F20"/>
        </w:rPr>
        <w:t>see as the model of all loving relationships, is a continuous lesson in learning how to love, with</w:t>
      </w:r>
      <w:r>
        <w:rPr>
          <w:color w:val="231F20"/>
          <w:spacing w:val="-4"/>
        </w:rPr>
        <w:t> </w:t>
      </w:r>
      <w:r>
        <w:rPr>
          <w:color w:val="231F20"/>
        </w:rPr>
        <w:t>the</w:t>
      </w:r>
      <w:r>
        <w:rPr>
          <w:color w:val="231F20"/>
          <w:spacing w:val="-4"/>
        </w:rPr>
        <w:t> </w:t>
      </w:r>
      <w:r>
        <w:rPr>
          <w:color w:val="231F20"/>
        </w:rPr>
        <w:t>family</w:t>
      </w:r>
      <w:r>
        <w:rPr>
          <w:color w:val="231F20"/>
          <w:spacing w:val="-4"/>
        </w:rPr>
        <w:t> </w:t>
      </w:r>
      <w:r>
        <w:rPr>
          <w:color w:val="231F20"/>
        </w:rPr>
        <w:t>as</w:t>
      </w:r>
      <w:r>
        <w:rPr>
          <w:color w:val="231F20"/>
          <w:spacing w:val="-4"/>
        </w:rPr>
        <w:t> </w:t>
      </w:r>
      <w:r>
        <w:rPr>
          <w:color w:val="231F20"/>
        </w:rPr>
        <w:t>a</w:t>
      </w:r>
      <w:r>
        <w:rPr>
          <w:color w:val="231F20"/>
          <w:spacing w:val="-4"/>
        </w:rPr>
        <w:t> </w:t>
      </w:r>
      <w:r>
        <w:rPr>
          <w:color w:val="231F20"/>
        </w:rPr>
        <w:t>school</w:t>
      </w:r>
      <w:r>
        <w:rPr>
          <w:color w:val="231F20"/>
          <w:spacing w:val="-4"/>
        </w:rPr>
        <w:t> </w:t>
      </w:r>
      <w:r>
        <w:rPr>
          <w:color w:val="231F20"/>
        </w:rPr>
        <w:t>of</w:t>
      </w:r>
      <w:r>
        <w:rPr>
          <w:color w:val="231F20"/>
          <w:spacing w:val="-4"/>
        </w:rPr>
        <w:t> </w:t>
      </w:r>
      <w:r>
        <w:rPr>
          <w:color w:val="231F20"/>
        </w:rPr>
        <w:t>loving</w:t>
      </w:r>
      <w:r>
        <w:rPr>
          <w:color w:val="231F20"/>
          <w:spacing w:val="-4"/>
        </w:rPr>
        <w:t> </w:t>
      </w:r>
      <w:r>
        <w:rPr>
          <w:color w:val="231F20"/>
        </w:rPr>
        <w:t>where</w:t>
      </w:r>
      <w:r>
        <w:rPr>
          <w:color w:val="231F20"/>
          <w:spacing w:val="-4"/>
        </w:rPr>
        <w:t> </w:t>
      </w:r>
      <w:r>
        <w:rPr>
          <w:color w:val="231F20"/>
        </w:rPr>
        <w:t>parents</w:t>
      </w:r>
      <w:r>
        <w:rPr>
          <w:color w:val="231F20"/>
          <w:spacing w:val="-4"/>
        </w:rPr>
        <w:t> </w:t>
      </w:r>
      <w:r>
        <w:rPr>
          <w:color w:val="231F20"/>
        </w:rPr>
        <w:t>and</w:t>
      </w:r>
      <w:r>
        <w:rPr>
          <w:color w:val="231F20"/>
          <w:spacing w:val="-4"/>
        </w:rPr>
        <w:t> </w:t>
      </w:r>
      <w:r>
        <w:rPr>
          <w:color w:val="231F20"/>
        </w:rPr>
        <w:t>children</w:t>
      </w:r>
      <w:r>
        <w:rPr>
          <w:color w:val="231F20"/>
          <w:spacing w:val="-4"/>
        </w:rPr>
        <w:t> </w:t>
      </w:r>
      <w:r>
        <w:rPr>
          <w:color w:val="231F20"/>
        </w:rPr>
        <w:t>learn</w:t>
      </w:r>
      <w:r>
        <w:rPr>
          <w:color w:val="231F20"/>
          <w:spacing w:val="-4"/>
        </w:rPr>
        <w:t> </w:t>
      </w:r>
      <w:r>
        <w:rPr>
          <w:color w:val="231F20"/>
        </w:rPr>
        <w:t>from</w:t>
      </w:r>
      <w:r>
        <w:rPr>
          <w:color w:val="231F20"/>
          <w:spacing w:val="-4"/>
        </w:rPr>
        <w:t> each </w:t>
      </w:r>
      <w:r>
        <w:rPr>
          <w:color w:val="231F20"/>
        </w:rPr>
        <w:t>other how to love, and how not to love. In the course of this document </w:t>
      </w:r>
      <w:r>
        <w:rPr>
          <w:color w:val="231F20"/>
          <w:spacing w:val="-3"/>
        </w:rPr>
        <w:t>we </w:t>
      </w:r>
      <w:r>
        <w:rPr>
          <w:color w:val="231F20"/>
        </w:rPr>
        <w:t>will quote extensively from </w:t>
      </w:r>
      <w:r>
        <w:rPr>
          <w:i/>
          <w:color w:val="231F20"/>
        </w:rPr>
        <w:t>Amoris Laetitia</w:t>
      </w:r>
      <w:r>
        <w:rPr>
          <w:color w:val="231F20"/>
        </w:rPr>
        <w:t>, which contains so much of value that</w:t>
      </w:r>
      <w:r>
        <w:rPr>
          <w:color w:val="231F20"/>
          <w:spacing w:val="-30"/>
        </w:rPr>
        <w:t> </w:t>
      </w:r>
      <w:r>
        <w:rPr>
          <w:color w:val="231F20"/>
        </w:rPr>
        <w:t>can be used to animate the lessons in love we need to impart to our children and young people.</w:t>
      </w:r>
    </w:p>
    <w:p>
      <w:pPr>
        <w:spacing w:after="0" w:line="216" w:lineRule="auto"/>
        <w:sectPr>
          <w:type w:val="continuous"/>
          <w:pgSz w:w="11910" w:h="16840"/>
          <w:pgMar w:top="1320" w:bottom="1640" w:left="160" w:right="220"/>
        </w:sectPr>
      </w:pPr>
    </w:p>
    <w:p>
      <w:pPr>
        <w:spacing w:line="216" w:lineRule="auto" w:before="135"/>
        <w:ind w:left="973" w:right="0" w:firstLine="0"/>
        <w:jc w:val="left"/>
        <w:rPr>
          <w:rFonts w:ascii="Palatino Linotype" w:hAnsi="Palatino Linotype"/>
          <w:b/>
          <w:i/>
          <w:sz w:val="48"/>
        </w:rPr>
      </w:pPr>
      <w:r>
        <w:rPr>
          <w:rFonts w:ascii="Palatino Linotype" w:hAnsi="Palatino Linotype"/>
          <w:b/>
          <w:i/>
          <w:color w:val="008790"/>
          <w:sz w:val="48"/>
        </w:rPr>
        <w:t>“Parents </w:t>
      </w:r>
      <w:r>
        <w:rPr>
          <w:rFonts w:ascii="Palatino Linotype" w:hAnsi="Palatino Linotype"/>
          <w:b/>
          <w:i/>
          <w:color w:val="008790"/>
          <w:spacing w:val="-3"/>
          <w:sz w:val="48"/>
        </w:rPr>
        <w:t>have </w:t>
      </w:r>
      <w:r>
        <w:rPr>
          <w:rFonts w:ascii="Palatino Linotype" w:hAnsi="Palatino Linotype"/>
          <w:b/>
          <w:i/>
          <w:color w:val="008790"/>
          <w:sz w:val="48"/>
        </w:rPr>
        <w:t>the </w:t>
      </w:r>
      <w:r>
        <w:rPr>
          <w:rFonts w:ascii="Palatino Linotype" w:hAnsi="Palatino Linotype"/>
          <w:b/>
          <w:i/>
          <w:color w:val="008790"/>
          <w:sz w:val="48"/>
        </w:rPr>
        <w:t>prime responsibility in teaching their children how to </w:t>
      </w:r>
      <w:r>
        <w:rPr>
          <w:rFonts w:ascii="Palatino Linotype" w:hAnsi="Palatino Linotype"/>
          <w:b/>
          <w:i/>
          <w:color w:val="008790"/>
          <w:spacing w:val="-4"/>
          <w:sz w:val="48"/>
        </w:rPr>
        <w:t>build </w:t>
      </w:r>
      <w:r>
        <w:rPr>
          <w:rFonts w:ascii="Palatino Linotype" w:hAnsi="Palatino Linotype"/>
          <w:b/>
          <w:i/>
          <w:color w:val="008790"/>
          <w:sz w:val="48"/>
        </w:rPr>
        <w:t>healthy, loving relationships, and our Catholic schools play a vital part in supporting parents.”</w:t>
      </w:r>
    </w:p>
    <w:p>
      <w:pPr>
        <w:pStyle w:val="BodyText"/>
        <w:spacing w:before="12"/>
        <w:rPr>
          <w:rFonts w:ascii="Palatino Linotype"/>
          <w:b/>
          <w:i/>
          <w:sz w:val="27"/>
        </w:rPr>
      </w:pPr>
      <w:r>
        <w:rPr/>
        <w:br w:type="column"/>
      </w:r>
      <w:r>
        <w:rPr>
          <w:rFonts w:ascii="Palatino Linotype"/>
          <w:b/>
          <w:i/>
          <w:sz w:val="27"/>
        </w:rPr>
      </w:r>
    </w:p>
    <w:p>
      <w:pPr>
        <w:pStyle w:val="Heading5"/>
        <w:spacing w:line="216" w:lineRule="auto"/>
        <w:ind w:left="161" w:right="758"/>
      </w:pPr>
      <w:r>
        <w:rPr>
          <w:color w:val="231F20"/>
        </w:rPr>
        <w:t>Parents have the prime responsibility in teaching their children how to build healthy, loving relationships, but our Catholic schools play a vital part in supporting parents.</w:t>
      </w:r>
    </w:p>
    <w:p>
      <w:pPr>
        <w:pStyle w:val="BodyText"/>
        <w:spacing w:before="11"/>
        <w:rPr>
          <w:rFonts w:ascii="Palatino Linotype"/>
          <w:sz w:val="25"/>
        </w:rPr>
      </w:pPr>
    </w:p>
    <w:p>
      <w:pPr>
        <w:pStyle w:val="Heading5"/>
        <w:spacing w:line="216" w:lineRule="auto" w:before="1"/>
        <w:ind w:left="161" w:right="758"/>
      </w:pPr>
      <w:r>
        <w:rPr>
          <w:color w:val="231F20"/>
        </w:rPr>
        <w:t>We expect all Catholic schools to ensure that space is made in the curriculum for Relationship and Sex Education (RSE).</w:t>
      </w:r>
    </w:p>
    <w:p>
      <w:pPr>
        <w:pStyle w:val="BodyText"/>
        <w:spacing w:before="8"/>
        <w:rPr>
          <w:rFonts w:ascii="Palatino Linotype"/>
          <w:sz w:val="25"/>
        </w:rPr>
      </w:pPr>
    </w:p>
    <w:p>
      <w:pPr>
        <w:pStyle w:val="Heading5"/>
        <w:spacing w:line="216" w:lineRule="auto"/>
        <w:ind w:left="161" w:right="758"/>
      </w:pPr>
      <w:r>
        <w:rPr>
          <w:color w:val="231F20"/>
        </w:rPr>
        <w:t>The content of what is taught must express the teaching of the Church, </w:t>
      </w:r>
      <w:r>
        <w:rPr>
          <w:color w:val="231F20"/>
          <w:spacing w:val="-5"/>
        </w:rPr>
        <w:t>and </w:t>
      </w:r>
      <w:r>
        <w:rPr>
          <w:color w:val="231F20"/>
        </w:rPr>
        <w:t>should be delivered to suit the age of</w:t>
      </w:r>
      <w:r>
        <w:rPr>
          <w:color w:val="231F20"/>
          <w:spacing w:val="-43"/>
        </w:rPr>
        <w:t> </w:t>
      </w:r>
      <w:r>
        <w:rPr>
          <w:color w:val="231F20"/>
          <w:spacing w:val="-5"/>
        </w:rPr>
        <w:t>the </w:t>
      </w:r>
      <w:r>
        <w:rPr>
          <w:color w:val="231F20"/>
        </w:rPr>
        <w:t>children or young people to whom it is addressed. </w:t>
      </w:r>
      <w:r>
        <w:rPr>
          <w:color w:val="231F20"/>
          <w:spacing w:val="-10"/>
        </w:rPr>
        <w:t>We </w:t>
      </w:r>
      <w:r>
        <w:rPr>
          <w:color w:val="231F20"/>
        </w:rPr>
        <w:t>all need to recognise</w:t>
      </w:r>
      <w:r>
        <w:rPr>
          <w:color w:val="231F20"/>
          <w:spacing w:val="10"/>
        </w:rPr>
        <w:t> </w:t>
      </w:r>
      <w:r>
        <w:rPr>
          <w:color w:val="231F20"/>
        </w:rPr>
        <w:t>that</w:t>
      </w:r>
    </w:p>
    <w:p>
      <w:pPr>
        <w:spacing w:after="0" w:line="216" w:lineRule="auto"/>
        <w:sectPr>
          <w:headerReference w:type="default" r:id="rId123"/>
          <w:footerReference w:type="default" r:id="rId124"/>
          <w:pgSz w:w="11910" w:h="16840"/>
          <w:pgMar w:header="0" w:footer="853" w:top="1260" w:bottom="1040" w:left="160" w:right="220"/>
          <w:pgNumType w:start="3"/>
          <w:cols w:num="2" w:equalWidth="0">
            <w:col w:w="5567" w:space="40"/>
            <w:col w:w="5923"/>
          </w:cols>
        </w:sectPr>
      </w:pPr>
    </w:p>
    <w:p>
      <w:pPr>
        <w:pStyle w:val="Heading5"/>
        <w:spacing w:line="216" w:lineRule="auto" w:before="29"/>
        <w:ind w:left="777" w:right="758"/>
      </w:pPr>
      <w:r>
        <w:rPr>
          <w:color w:val="231F20"/>
        </w:rPr>
        <w:t>without providing an education in this area, we leave many young people vulnerable to receiving their education second-hand, and often from sources which damage them and their capacity to love.</w:t>
      </w:r>
    </w:p>
    <w:p>
      <w:pPr>
        <w:pStyle w:val="BodyText"/>
        <w:spacing w:before="9"/>
        <w:rPr>
          <w:rFonts w:ascii="Palatino Linotype"/>
          <w:sz w:val="25"/>
        </w:rPr>
      </w:pPr>
    </w:p>
    <w:p>
      <w:pPr>
        <w:pStyle w:val="Heading5"/>
        <w:spacing w:line="216" w:lineRule="auto"/>
        <w:ind w:left="777" w:right="758" w:hanging="1"/>
      </w:pPr>
      <w:r>
        <w:rPr>
          <w:color w:val="231F20"/>
        </w:rPr>
        <w:t>This document is written for those who are engaged in the development and presentation of the broad range of subjects which are covered in such a course of study.</w:t>
      </w:r>
      <w:r>
        <w:rPr>
          <w:color w:val="231F20"/>
          <w:spacing w:val="-8"/>
        </w:rPr>
        <w:t> </w:t>
      </w:r>
      <w:r>
        <w:rPr>
          <w:color w:val="231F20"/>
        </w:rPr>
        <w:t>For</w:t>
      </w:r>
      <w:r>
        <w:rPr>
          <w:color w:val="231F20"/>
          <w:spacing w:val="-7"/>
        </w:rPr>
        <w:t> </w:t>
      </w:r>
      <w:r>
        <w:rPr>
          <w:color w:val="231F20"/>
        </w:rPr>
        <w:t>those</w:t>
      </w:r>
      <w:r>
        <w:rPr>
          <w:color w:val="231F20"/>
          <w:spacing w:val="-8"/>
        </w:rPr>
        <w:t> </w:t>
      </w:r>
      <w:r>
        <w:rPr>
          <w:color w:val="231F20"/>
        </w:rPr>
        <w:t>who</w:t>
      </w:r>
      <w:r>
        <w:rPr>
          <w:color w:val="231F20"/>
          <w:spacing w:val="-7"/>
        </w:rPr>
        <w:t> </w:t>
      </w:r>
      <w:r>
        <w:rPr>
          <w:color w:val="231F20"/>
        </w:rPr>
        <w:t>wish</w:t>
      </w:r>
      <w:r>
        <w:rPr>
          <w:color w:val="231F20"/>
          <w:spacing w:val="-7"/>
        </w:rPr>
        <w:t> </w:t>
      </w:r>
      <w:r>
        <w:rPr>
          <w:color w:val="231F20"/>
        </w:rPr>
        <w:t>to</w:t>
      </w:r>
      <w:r>
        <w:rPr>
          <w:color w:val="231F20"/>
          <w:spacing w:val="-8"/>
        </w:rPr>
        <w:t> </w:t>
      </w:r>
      <w:r>
        <w:rPr>
          <w:color w:val="231F20"/>
        </w:rPr>
        <w:t>deepen</w:t>
      </w:r>
      <w:r>
        <w:rPr>
          <w:color w:val="231F20"/>
          <w:spacing w:val="-7"/>
        </w:rPr>
        <w:t> </w:t>
      </w:r>
      <w:r>
        <w:rPr>
          <w:color w:val="231F20"/>
        </w:rPr>
        <w:t>their</w:t>
      </w:r>
      <w:r>
        <w:rPr>
          <w:color w:val="231F20"/>
          <w:spacing w:val="-8"/>
        </w:rPr>
        <w:t> </w:t>
      </w:r>
      <w:r>
        <w:rPr>
          <w:color w:val="231F20"/>
        </w:rPr>
        <w:t>knowledge</w:t>
      </w:r>
      <w:r>
        <w:rPr>
          <w:color w:val="231F20"/>
          <w:spacing w:val="-7"/>
        </w:rPr>
        <w:t> </w:t>
      </w:r>
      <w:r>
        <w:rPr>
          <w:color w:val="231F20"/>
        </w:rPr>
        <w:t>of</w:t>
      </w:r>
      <w:r>
        <w:rPr>
          <w:color w:val="231F20"/>
          <w:spacing w:val="-7"/>
        </w:rPr>
        <w:t> </w:t>
      </w:r>
      <w:r>
        <w:rPr>
          <w:color w:val="231F20"/>
        </w:rPr>
        <w:t>the</w:t>
      </w:r>
      <w:r>
        <w:rPr>
          <w:color w:val="231F20"/>
          <w:spacing w:val="-8"/>
        </w:rPr>
        <w:t> </w:t>
      </w:r>
      <w:r>
        <w:rPr>
          <w:color w:val="231F20"/>
        </w:rPr>
        <w:t>Church’s</w:t>
      </w:r>
      <w:r>
        <w:rPr>
          <w:color w:val="231F20"/>
          <w:spacing w:val="-7"/>
        </w:rPr>
        <w:t> </w:t>
      </w:r>
      <w:r>
        <w:rPr>
          <w:color w:val="231F20"/>
        </w:rPr>
        <w:t>teaching,</w:t>
      </w:r>
      <w:r>
        <w:rPr>
          <w:color w:val="231F20"/>
          <w:spacing w:val="-7"/>
        </w:rPr>
        <w:t> </w:t>
      </w:r>
      <w:r>
        <w:rPr>
          <w:color w:val="231F20"/>
        </w:rPr>
        <w:t>it concludes with a list of suggested further reading.</w:t>
      </w:r>
    </w:p>
    <w:p>
      <w:pPr>
        <w:pStyle w:val="BodyText"/>
        <w:spacing w:before="9"/>
        <w:rPr>
          <w:rFonts w:ascii="Palatino Linotype"/>
          <w:sz w:val="25"/>
        </w:rPr>
      </w:pPr>
    </w:p>
    <w:p>
      <w:pPr>
        <w:pStyle w:val="Heading5"/>
        <w:spacing w:line="216" w:lineRule="auto" w:before="1"/>
        <w:ind w:left="777" w:right="758"/>
      </w:pPr>
      <w:r>
        <w:rPr>
          <w:color w:val="231F20"/>
          <w:spacing w:val="-10"/>
        </w:rPr>
        <w:t>We </w:t>
      </w:r>
      <w:r>
        <w:rPr>
          <w:color w:val="231F20"/>
        </w:rPr>
        <w:t>hope </w:t>
      </w:r>
      <w:r>
        <w:rPr>
          <w:i/>
          <w:color w:val="231F20"/>
        </w:rPr>
        <w:t>Learning to Love </w:t>
      </w:r>
      <w:r>
        <w:rPr>
          <w:color w:val="231F20"/>
        </w:rPr>
        <w:t>will inspire teachers to help them present the Church's teaching eﬀectively and engagingly. But also </w:t>
      </w:r>
      <w:r>
        <w:rPr>
          <w:color w:val="231F20"/>
          <w:spacing w:val="-3"/>
        </w:rPr>
        <w:t>we </w:t>
      </w:r>
      <w:r>
        <w:rPr>
          <w:color w:val="231F20"/>
        </w:rPr>
        <w:t>hope that it will inspire parents as the primary educators of their children, those engaged in catechesis, in</w:t>
      </w:r>
      <w:r>
        <w:rPr>
          <w:color w:val="231F20"/>
          <w:spacing w:val="-36"/>
        </w:rPr>
        <w:t> </w:t>
      </w:r>
      <w:r>
        <w:rPr>
          <w:color w:val="231F20"/>
        </w:rPr>
        <w:t>further education,</w:t>
      </w:r>
      <w:r>
        <w:rPr>
          <w:color w:val="231F20"/>
          <w:spacing w:val="-7"/>
        </w:rPr>
        <w:t> </w:t>
      </w:r>
      <w:r>
        <w:rPr>
          <w:color w:val="231F20"/>
        </w:rPr>
        <w:t>in</w:t>
      </w:r>
      <w:r>
        <w:rPr>
          <w:color w:val="231F20"/>
          <w:spacing w:val="-7"/>
        </w:rPr>
        <w:t> </w:t>
      </w:r>
      <w:r>
        <w:rPr>
          <w:color w:val="231F20"/>
        </w:rPr>
        <w:t>parishes,</w:t>
      </w:r>
      <w:r>
        <w:rPr>
          <w:color w:val="231F20"/>
          <w:spacing w:val="-7"/>
        </w:rPr>
        <w:t> </w:t>
      </w:r>
      <w:r>
        <w:rPr>
          <w:color w:val="231F20"/>
        </w:rPr>
        <w:t>and</w:t>
      </w:r>
      <w:r>
        <w:rPr>
          <w:color w:val="231F20"/>
          <w:spacing w:val="-7"/>
        </w:rPr>
        <w:t> </w:t>
      </w:r>
      <w:r>
        <w:rPr>
          <w:color w:val="231F20"/>
        </w:rPr>
        <w:t>more</w:t>
      </w:r>
      <w:r>
        <w:rPr>
          <w:color w:val="231F20"/>
          <w:spacing w:val="-7"/>
        </w:rPr>
        <w:t> </w:t>
      </w:r>
      <w:r>
        <w:rPr>
          <w:color w:val="231F20"/>
        </w:rPr>
        <w:t>widely</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Church</w:t>
      </w:r>
      <w:r>
        <w:rPr>
          <w:color w:val="231F20"/>
          <w:spacing w:val="-7"/>
        </w:rPr>
        <w:t> </w:t>
      </w:r>
      <w:r>
        <w:rPr>
          <w:color w:val="231F20"/>
        </w:rPr>
        <w:t>at</w:t>
      </w:r>
      <w:r>
        <w:rPr>
          <w:color w:val="231F20"/>
          <w:spacing w:val="-7"/>
        </w:rPr>
        <w:t> </w:t>
      </w:r>
      <w:r>
        <w:rPr>
          <w:color w:val="231F20"/>
        </w:rPr>
        <w:t>large,</w:t>
      </w:r>
      <w:r>
        <w:rPr>
          <w:color w:val="231F20"/>
          <w:spacing w:val="-7"/>
        </w:rPr>
        <w:t> </w:t>
      </w:r>
      <w:r>
        <w:rPr>
          <w:color w:val="231F20"/>
        </w:rPr>
        <w:t>for</w:t>
      </w:r>
      <w:r>
        <w:rPr>
          <w:color w:val="231F20"/>
          <w:spacing w:val="-7"/>
        </w:rPr>
        <w:t> </w:t>
      </w:r>
      <w:r>
        <w:rPr>
          <w:color w:val="231F20"/>
        </w:rPr>
        <w:t>none</w:t>
      </w:r>
      <w:r>
        <w:rPr>
          <w:color w:val="231F20"/>
          <w:spacing w:val="-7"/>
        </w:rPr>
        <w:t> </w:t>
      </w:r>
      <w:r>
        <w:rPr>
          <w:color w:val="231F20"/>
        </w:rPr>
        <w:t>of</w:t>
      </w:r>
      <w:r>
        <w:rPr>
          <w:color w:val="231F20"/>
          <w:spacing w:val="-7"/>
        </w:rPr>
        <w:t> </w:t>
      </w:r>
      <w:r>
        <w:rPr>
          <w:color w:val="231F20"/>
        </w:rPr>
        <w:t>us</w:t>
      </w:r>
      <w:r>
        <w:rPr>
          <w:color w:val="231F20"/>
          <w:spacing w:val="-7"/>
        </w:rPr>
        <w:t> </w:t>
      </w:r>
      <w:r>
        <w:rPr>
          <w:color w:val="231F20"/>
          <w:spacing w:val="-4"/>
        </w:rPr>
        <w:t>can </w:t>
      </w:r>
      <w:r>
        <w:rPr>
          <w:color w:val="231F20"/>
        </w:rPr>
        <w:t>stop learning lessons in</w:t>
      </w:r>
      <w:r>
        <w:rPr>
          <w:color w:val="231F20"/>
          <w:spacing w:val="-1"/>
        </w:rPr>
        <w:t> </w:t>
      </w:r>
      <w:r>
        <w:rPr>
          <w:color w:val="231F20"/>
        </w:rPr>
        <w:t>love.</w:t>
      </w:r>
    </w:p>
    <w:p>
      <w:pPr>
        <w:pStyle w:val="BodyText"/>
        <w:spacing w:before="11"/>
        <w:rPr>
          <w:rFonts w:ascii="Palatino Linotype"/>
          <w:sz w:val="25"/>
        </w:rPr>
      </w:pPr>
    </w:p>
    <w:p>
      <w:pPr>
        <w:pStyle w:val="Heading5"/>
        <w:spacing w:line="216" w:lineRule="auto"/>
        <w:ind w:left="776" w:right="758"/>
      </w:pPr>
      <w:r>
        <w:rPr>
          <w:color w:val="231F20"/>
        </w:rPr>
        <w:t>Our</w:t>
      </w:r>
      <w:r>
        <w:rPr>
          <w:color w:val="231F20"/>
          <w:spacing w:val="-16"/>
        </w:rPr>
        <w:t> </w:t>
      </w:r>
      <w:r>
        <w:rPr>
          <w:color w:val="231F20"/>
        </w:rPr>
        <w:t>purpose</w:t>
      </w:r>
      <w:r>
        <w:rPr>
          <w:color w:val="231F20"/>
          <w:spacing w:val="-15"/>
        </w:rPr>
        <w:t> </w:t>
      </w:r>
      <w:r>
        <w:rPr>
          <w:color w:val="231F20"/>
        </w:rPr>
        <w:t>is</w:t>
      </w:r>
      <w:r>
        <w:rPr>
          <w:color w:val="231F20"/>
          <w:spacing w:val="-16"/>
        </w:rPr>
        <w:t> </w:t>
      </w:r>
      <w:r>
        <w:rPr>
          <w:color w:val="231F20"/>
        </w:rPr>
        <w:t>to</w:t>
      </w:r>
      <w:r>
        <w:rPr>
          <w:color w:val="231F20"/>
          <w:spacing w:val="-15"/>
        </w:rPr>
        <w:t> </w:t>
      </w:r>
      <w:r>
        <w:rPr>
          <w:color w:val="231F20"/>
        </w:rPr>
        <w:t>show</w:t>
      </w:r>
      <w:r>
        <w:rPr>
          <w:color w:val="231F20"/>
          <w:spacing w:val="-15"/>
        </w:rPr>
        <w:t> </w:t>
      </w:r>
      <w:r>
        <w:rPr>
          <w:color w:val="231F20"/>
        </w:rPr>
        <w:t>why</w:t>
      </w:r>
      <w:r>
        <w:rPr>
          <w:color w:val="231F20"/>
          <w:spacing w:val="-16"/>
        </w:rPr>
        <w:t> </w:t>
      </w:r>
      <w:r>
        <w:rPr>
          <w:color w:val="231F20"/>
        </w:rPr>
        <w:t>the</w:t>
      </w:r>
      <w:r>
        <w:rPr>
          <w:color w:val="231F20"/>
          <w:spacing w:val="-15"/>
        </w:rPr>
        <w:t> </w:t>
      </w:r>
      <w:r>
        <w:rPr>
          <w:color w:val="231F20"/>
        </w:rPr>
        <w:t>Church's</w:t>
      </w:r>
      <w:r>
        <w:rPr>
          <w:color w:val="231F20"/>
          <w:spacing w:val="-16"/>
        </w:rPr>
        <w:t> </w:t>
      </w:r>
      <w:r>
        <w:rPr>
          <w:color w:val="231F20"/>
        </w:rPr>
        <w:t>teaching</w:t>
      </w:r>
      <w:r>
        <w:rPr>
          <w:color w:val="231F20"/>
          <w:spacing w:val="-15"/>
        </w:rPr>
        <w:t> </w:t>
      </w:r>
      <w:r>
        <w:rPr>
          <w:color w:val="231F20"/>
        </w:rPr>
        <w:t>on</w:t>
      </w:r>
      <w:r>
        <w:rPr>
          <w:color w:val="231F20"/>
          <w:spacing w:val="-15"/>
        </w:rPr>
        <w:t> </w:t>
      </w:r>
      <w:r>
        <w:rPr>
          <w:color w:val="231F20"/>
        </w:rPr>
        <w:t>matters</w:t>
      </w:r>
      <w:r>
        <w:rPr>
          <w:color w:val="231F20"/>
          <w:spacing w:val="-16"/>
        </w:rPr>
        <w:t> </w:t>
      </w:r>
      <w:r>
        <w:rPr>
          <w:color w:val="231F20"/>
        </w:rPr>
        <w:t>relating</w:t>
      </w:r>
      <w:r>
        <w:rPr>
          <w:color w:val="231F20"/>
          <w:spacing w:val="-15"/>
        </w:rPr>
        <w:t> </w:t>
      </w:r>
      <w:r>
        <w:rPr>
          <w:color w:val="231F20"/>
        </w:rPr>
        <w:t>to</w:t>
      </w:r>
      <w:r>
        <w:rPr>
          <w:color w:val="231F20"/>
          <w:spacing w:val="-15"/>
        </w:rPr>
        <w:t> </w:t>
      </w:r>
      <w:r>
        <w:rPr>
          <w:color w:val="231F20"/>
        </w:rPr>
        <w:t>building loving relationships and the role of the sexual expression of love is liberating, rather</w:t>
      </w:r>
      <w:r>
        <w:rPr>
          <w:color w:val="231F20"/>
          <w:spacing w:val="-6"/>
        </w:rPr>
        <w:t> </w:t>
      </w:r>
      <w:r>
        <w:rPr>
          <w:color w:val="231F20"/>
        </w:rPr>
        <w:t>than</w:t>
      </w:r>
      <w:r>
        <w:rPr>
          <w:color w:val="231F20"/>
          <w:spacing w:val="-5"/>
        </w:rPr>
        <w:t> </w:t>
      </w:r>
      <w:r>
        <w:rPr>
          <w:color w:val="231F20"/>
        </w:rPr>
        <w:t>imprisoning.</w:t>
      </w:r>
      <w:r>
        <w:rPr>
          <w:color w:val="231F20"/>
          <w:spacing w:val="-5"/>
        </w:rPr>
        <w:t> </w:t>
      </w:r>
      <w:r>
        <w:rPr>
          <w:color w:val="231F20"/>
        </w:rPr>
        <w:t>For</w:t>
      </w:r>
      <w:r>
        <w:rPr>
          <w:color w:val="231F20"/>
          <w:spacing w:val="-5"/>
        </w:rPr>
        <w:t> </w:t>
      </w:r>
      <w:r>
        <w:rPr>
          <w:color w:val="231F20"/>
        </w:rPr>
        <w:t>us,</w:t>
      </w:r>
      <w:r>
        <w:rPr>
          <w:color w:val="231F20"/>
          <w:spacing w:val="-5"/>
        </w:rPr>
        <w:t> </w:t>
      </w:r>
      <w:r>
        <w:rPr>
          <w:color w:val="231F20"/>
        </w:rPr>
        <w:t>‘sex</w:t>
      </w:r>
      <w:r>
        <w:rPr>
          <w:color w:val="231F20"/>
          <w:spacing w:val="-5"/>
        </w:rPr>
        <w:t> </w:t>
      </w:r>
      <w:r>
        <w:rPr>
          <w:color w:val="231F20"/>
        </w:rPr>
        <w:t>education’</w:t>
      </w:r>
      <w:r>
        <w:rPr>
          <w:color w:val="231F20"/>
          <w:spacing w:val="-6"/>
        </w:rPr>
        <w:t> </w:t>
      </w:r>
      <w:r>
        <w:rPr>
          <w:color w:val="231F20"/>
        </w:rPr>
        <w:t>is</w:t>
      </w:r>
      <w:r>
        <w:rPr>
          <w:color w:val="231F20"/>
          <w:spacing w:val="-5"/>
        </w:rPr>
        <w:t> </w:t>
      </w:r>
      <w:r>
        <w:rPr>
          <w:color w:val="231F20"/>
        </w:rPr>
        <w:t>a</w:t>
      </w:r>
      <w:r>
        <w:rPr>
          <w:color w:val="231F20"/>
          <w:spacing w:val="-5"/>
        </w:rPr>
        <w:t> </w:t>
      </w:r>
      <w:r>
        <w:rPr>
          <w:color w:val="231F20"/>
        </w:rPr>
        <w:t>rootless</w:t>
      </w:r>
      <w:r>
        <w:rPr>
          <w:color w:val="231F20"/>
          <w:spacing w:val="-5"/>
        </w:rPr>
        <w:t> </w:t>
      </w:r>
      <w:r>
        <w:rPr>
          <w:color w:val="231F20"/>
        </w:rPr>
        <w:t>and</w:t>
      </w:r>
      <w:r>
        <w:rPr>
          <w:color w:val="231F20"/>
          <w:spacing w:val="-5"/>
        </w:rPr>
        <w:t> </w:t>
      </w:r>
      <w:r>
        <w:rPr>
          <w:color w:val="231F20"/>
        </w:rPr>
        <w:t>diminished</w:t>
      </w:r>
      <w:r>
        <w:rPr>
          <w:color w:val="231F20"/>
          <w:spacing w:val="-5"/>
        </w:rPr>
        <w:t> </w:t>
      </w:r>
      <w:r>
        <w:rPr>
          <w:color w:val="231F20"/>
        </w:rPr>
        <w:t>ﬁeld of study, unless it is situated more broadly in healthy, loving</w:t>
      </w:r>
      <w:r>
        <w:rPr>
          <w:color w:val="231F20"/>
          <w:spacing w:val="-3"/>
        </w:rPr>
        <w:t> </w:t>
      </w:r>
      <w:r>
        <w:rPr>
          <w:color w:val="231F20"/>
        </w:rPr>
        <w:t>relationships:</w:t>
      </w:r>
    </w:p>
    <w:p>
      <w:pPr>
        <w:pStyle w:val="Heading6"/>
        <w:spacing w:line="216" w:lineRule="auto" w:before="268"/>
        <w:ind w:left="1414" w:right="697" w:firstLine="145"/>
      </w:pPr>
      <w:r>
        <w:rPr>
          <w:i/>
          <w:color w:val="231F20"/>
        </w:rPr>
        <w:t>It is not easy to approach the issue of sex education in an age when</w:t>
      </w:r>
      <w:r>
        <w:rPr>
          <w:i/>
          <w:color w:val="231F20"/>
          <w:spacing w:val="-10"/>
        </w:rPr>
        <w:t> </w:t>
      </w:r>
      <w:r>
        <w:rPr>
          <w:i/>
          <w:color w:val="231F20"/>
        </w:rPr>
        <w:t>sexuality tends</w:t>
      </w:r>
      <w:r>
        <w:rPr>
          <w:color w:val="231F20"/>
        </w:rPr>
        <w:t> to be trivialised and impoverished. It can only be seen within the</w:t>
      </w:r>
      <w:r>
        <w:rPr>
          <w:color w:val="231F20"/>
          <w:spacing w:val="-14"/>
        </w:rPr>
        <w:t> </w:t>
      </w:r>
      <w:r>
        <w:rPr>
          <w:color w:val="231F20"/>
        </w:rPr>
        <w:t>broader framework of an education for love, for mutual self-giving. In such a </w:t>
      </w:r>
      <w:r>
        <w:rPr>
          <w:color w:val="231F20"/>
          <w:spacing w:val="-3"/>
        </w:rPr>
        <w:t>way, </w:t>
      </w:r>
      <w:r>
        <w:rPr>
          <w:color w:val="231F20"/>
        </w:rPr>
        <w:t>the</w:t>
      </w:r>
      <w:r>
        <w:rPr>
          <w:color w:val="231F20"/>
          <w:spacing w:val="-9"/>
        </w:rPr>
        <w:t> </w:t>
      </w:r>
      <w:r>
        <w:rPr>
          <w:color w:val="231F20"/>
        </w:rPr>
        <w:t>language of sexuality would not be sadly improverished but illuminated and</w:t>
      </w:r>
      <w:r>
        <w:rPr>
          <w:color w:val="231F20"/>
          <w:spacing w:val="-12"/>
        </w:rPr>
        <w:t> </w:t>
      </w:r>
      <w:r>
        <w:rPr>
          <w:color w:val="231F20"/>
        </w:rPr>
        <w:t>enriched.</w:t>
      </w:r>
    </w:p>
    <w:p>
      <w:pPr>
        <w:pStyle w:val="Heading5"/>
        <w:spacing w:line="354" w:lineRule="exact"/>
        <w:ind w:right="697"/>
        <w:jc w:val="right"/>
      </w:pPr>
      <w:r>
        <w:rPr>
          <w:color w:val="231F20"/>
        </w:rPr>
        <w:t>Amoris Laetitia </w:t>
      </w:r>
      <w:r>
        <w:rPr>
          <w:color w:val="231F20"/>
          <w:spacing w:val="-6"/>
        </w:rPr>
        <w:t>(AL)</w:t>
      </w:r>
      <w:r>
        <w:rPr>
          <w:color w:val="231F20"/>
          <w:spacing w:val="3"/>
        </w:rPr>
        <w:t> </w:t>
      </w:r>
      <w:r>
        <w:rPr>
          <w:color w:val="231F20"/>
        </w:rPr>
        <w:t>280</w:t>
      </w:r>
    </w:p>
    <w:p>
      <w:pPr>
        <w:spacing w:after="0" w:line="354" w:lineRule="exact"/>
        <w:jc w:val="right"/>
        <w:sectPr>
          <w:type w:val="continuous"/>
          <w:pgSz w:w="11910" w:h="16840"/>
          <w:pgMar w:top="1320" w:bottom="1640" w:left="160" w:right="220"/>
        </w:sectPr>
      </w:pPr>
    </w:p>
    <w:p>
      <w:pPr>
        <w:spacing w:line="216" w:lineRule="auto" w:before="129"/>
        <w:ind w:left="813" w:right="0" w:firstLine="9"/>
        <w:jc w:val="both"/>
        <w:rPr>
          <w:rFonts w:ascii="Palatino Linotype" w:hAnsi="Palatino Linotype"/>
          <w:b/>
          <w:i/>
          <w:sz w:val="48"/>
        </w:rPr>
      </w:pPr>
      <w:r>
        <w:rPr>
          <w:rFonts w:ascii="Palatino Linotype" w:hAnsi="Palatino Linotype"/>
          <w:b/>
          <w:i/>
          <w:color w:val="008790"/>
          <w:sz w:val="48"/>
        </w:rPr>
        <w:t>“...we all need to </w:t>
      </w:r>
      <w:r>
        <w:rPr>
          <w:rFonts w:ascii="Palatino Linotype" w:hAnsi="Palatino Linotype"/>
          <w:b/>
          <w:i/>
          <w:color w:val="008790"/>
          <w:spacing w:val="-4"/>
          <w:sz w:val="48"/>
        </w:rPr>
        <w:t>learn </w:t>
      </w:r>
      <w:r>
        <w:rPr>
          <w:rFonts w:ascii="Palatino Linotype" w:hAnsi="Palatino Linotype"/>
          <w:b/>
          <w:i/>
          <w:color w:val="008790"/>
          <w:sz w:val="48"/>
        </w:rPr>
        <w:t>lessons in love, and to ﬁnd joy and</w:t>
      </w:r>
      <w:r>
        <w:rPr>
          <w:rFonts w:ascii="Palatino Linotype" w:hAnsi="Palatino Linotype"/>
          <w:b/>
          <w:i/>
          <w:color w:val="008790"/>
          <w:spacing w:val="7"/>
          <w:sz w:val="48"/>
        </w:rPr>
        <w:t> </w:t>
      </w:r>
      <w:r>
        <w:rPr>
          <w:rFonts w:ascii="Palatino Linotype" w:hAnsi="Palatino Linotype"/>
          <w:b/>
          <w:i/>
          <w:color w:val="008790"/>
          <w:spacing w:val="-3"/>
          <w:sz w:val="48"/>
        </w:rPr>
        <w:t>fulﬁlment</w:t>
      </w:r>
    </w:p>
    <w:p>
      <w:pPr>
        <w:spacing w:line="605" w:lineRule="exact" w:before="0"/>
        <w:ind w:left="4002" w:right="0" w:firstLine="0"/>
        <w:jc w:val="both"/>
        <w:rPr>
          <w:rFonts w:ascii="Palatino Linotype" w:hAnsi="Palatino Linotype"/>
          <w:b/>
          <w:i/>
          <w:sz w:val="48"/>
        </w:rPr>
      </w:pPr>
      <w:r>
        <w:rPr>
          <w:rFonts w:ascii="Palatino Linotype" w:hAnsi="Palatino Linotype"/>
          <w:b/>
          <w:i/>
          <w:color w:val="008790"/>
          <w:sz w:val="48"/>
        </w:rPr>
        <w:t>in</w:t>
      </w:r>
      <w:r>
        <w:rPr>
          <w:rFonts w:ascii="Palatino Linotype" w:hAnsi="Palatino Linotype"/>
          <w:b/>
          <w:i/>
          <w:color w:val="008790"/>
          <w:spacing w:val="4"/>
          <w:sz w:val="48"/>
        </w:rPr>
        <w:t> </w:t>
      </w:r>
      <w:r>
        <w:rPr>
          <w:rFonts w:ascii="Palatino Linotype" w:hAnsi="Palatino Linotype"/>
          <w:b/>
          <w:i/>
          <w:color w:val="008790"/>
          <w:spacing w:val="-4"/>
          <w:sz w:val="48"/>
        </w:rPr>
        <w:t>life.”</w:t>
      </w:r>
    </w:p>
    <w:p>
      <w:pPr>
        <w:pStyle w:val="Heading5"/>
        <w:spacing w:line="216" w:lineRule="auto" w:before="262"/>
        <w:ind w:left="201" w:right="655"/>
      </w:pPr>
      <w:r>
        <w:rPr/>
        <w:br w:type="column"/>
      </w:r>
      <w:r>
        <w:rPr>
          <w:color w:val="231F20"/>
        </w:rPr>
        <w:t>Important as all this is in helping to articulate the teaching of the Church, we want especially to present the Church's teaching in the light of Sacred Scripture, the source of God's will revealed in His inspired Word.</w:t>
      </w:r>
    </w:p>
    <w:p>
      <w:pPr>
        <w:spacing w:after="0" w:line="216" w:lineRule="auto"/>
        <w:sectPr>
          <w:headerReference w:type="default" r:id="rId125"/>
          <w:footerReference w:type="default" r:id="rId126"/>
          <w:pgSz w:w="11910" w:h="16840"/>
          <w:pgMar w:header="0" w:footer="937" w:top="1340" w:bottom="1120" w:left="160" w:right="220"/>
          <w:pgNumType w:start="4"/>
          <w:cols w:num="2" w:equalWidth="0">
            <w:col w:w="5602" w:space="40"/>
            <w:col w:w="5888"/>
          </w:cols>
        </w:sectPr>
      </w:pPr>
    </w:p>
    <w:p>
      <w:pPr>
        <w:pStyle w:val="Heading5"/>
        <w:spacing w:line="216" w:lineRule="auto" w:before="150"/>
        <w:ind w:left="809" w:right="713"/>
      </w:pPr>
      <w:r>
        <w:rPr>
          <w:color w:val="231F20"/>
        </w:rPr>
        <w:t>It is therefore essential to make God’s Word our starting point as we reﬂect on what His Word tells us about learning to love.</w:t>
      </w:r>
    </w:p>
    <w:p>
      <w:pPr>
        <w:pStyle w:val="BodyText"/>
        <w:spacing w:before="7"/>
        <w:rPr>
          <w:rFonts w:ascii="Palatino Linotype"/>
          <w:sz w:val="25"/>
        </w:rPr>
      </w:pPr>
    </w:p>
    <w:p>
      <w:pPr>
        <w:pStyle w:val="Heading5"/>
        <w:spacing w:line="216" w:lineRule="auto"/>
        <w:ind w:left="809" w:right="713"/>
      </w:pPr>
      <w:r>
        <w:rPr>
          <w:color w:val="231F20"/>
        </w:rPr>
        <w:t>Lasty, we would like to draw attention to the cover picture we have chosen for this</w:t>
      </w:r>
      <w:r>
        <w:rPr>
          <w:color w:val="231F20"/>
          <w:spacing w:val="-16"/>
        </w:rPr>
        <w:t> </w:t>
      </w:r>
      <w:r>
        <w:rPr>
          <w:color w:val="231F20"/>
        </w:rPr>
        <w:t>document.</w:t>
      </w:r>
      <w:r>
        <w:rPr>
          <w:color w:val="231F20"/>
          <w:spacing w:val="-16"/>
        </w:rPr>
        <w:t> </w:t>
      </w:r>
      <w:r>
        <w:rPr>
          <w:color w:val="231F20"/>
        </w:rPr>
        <w:t>It</w:t>
      </w:r>
      <w:r>
        <w:rPr>
          <w:color w:val="231F20"/>
          <w:spacing w:val="-15"/>
        </w:rPr>
        <w:t> </w:t>
      </w:r>
      <w:r>
        <w:rPr>
          <w:color w:val="231F20"/>
        </w:rPr>
        <w:t>is</w:t>
      </w:r>
      <w:r>
        <w:rPr>
          <w:color w:val="231F20"/>
          <w:spacing w:val="-16"/>
        </w:rPr>
        <w:t> </w:t>
      </w:r>
      <w:r>
        <w:rPr>
          <w:color w:val="231F20"/>
        </w:rPr>
        <w:t>a</w:t>
      </w:r>
      <w:r>
        <w:rPr>
          <w:color w:val="231F20"/>
          <w:spacing w:val="-16"/>
        </w:rPr>
        <w:t> </w:t>
      </w:r>
      <w:r>
        <w:rPr>
          <w:color w:val="231F20"/>
        </w:rPr>
        <w:t>painting</w:t>
      </w:r>
      <w:r>
        <w:rPr>
          <w:color w:val="231F20"/>
          <w:spacing w:val="-15"/>
        </w:rPr>
        <w:t> </w:t>
      </w:r>
      <w:r>
        <w:rPr>
          <w:color w:val="231F20"/>
        </w:rPr>
        <w:t>by</w:t>
      </w:r>
      <w:r>
        <w:rPr>
          <w:color w:val="231F20"/>
          <w:spacing w:val="-16"/>
        </w:rPr>
        <w:t> </w:t>
      </w:r>
      <w:r>
        <w:rPr>
          <w:color w:val="231F20"/>
        </w:rPr>
        <w:t>Vincent</w:t>
      </w:r>
      <w:r>
        <w:rPr>
          <w:color w:val="231F20"/>
          <w:spacing w:val="-15"/>
        </w:rPr>
        <w:t> </w:t>
      </w:r>
      <w:r>
        <w:rPr>
          <w:color w:val="231F20"/>
          <w:spacing w:val="-9"/>
        </w:rPr>
        <w:t>Van</w:t>
      </w:r>
      <w:r>
        <w:rPr>
          <w:color w:val="231F20"/>
          <w:spacing w:val="-16"/>
        </w:rPr>
        <w:t> </w:t>
      </w:r>
      <w:r>
        <w:rPr>
          <w:color w:val="231F20"/>
        </w:rPr>
        <w:t>Gogh,</w:t>
      </w:r>
      <w:r>
        <w:rPr>
          <w:color w:val="231F20"/>
          <w:spacing w:val="-16"/>
        </w:rPr>
        <w:t> </w:t>
      </w:r>
      <w:r>
        <w:rPr>
          <w:color w:val="231F20"/>
        </w:rPr>
        <w:t>and</w:t>
      </w:r>
      <w:r>
        <w:rPr>
          <w:color w:val="231F20"/>
          <w:spacing w:val="-15"/>
        </w:rPr>
        <w:t> </w:t>
      </w:r>
      <w:r>
        <w:rPr>
          <w:color w:val="231F20"/>
        </w:rPr>
        <w:t>it</w:t>
      </w:r>
      <w:r>
        <w:rPr>
          <w:color w:val="231F20"/>
          <w:spacing w:val="-16"/>
        </w:rPr>
        <w:t> </w:t>
      </w:r>
      <w:r>
        <w:rPr>
          <w:color w:val="231F20"/>
        </w:rPr>
        <w:t>depicts</w:t>
      </w:r>
      <w:r>
        <w:rPr>
          <w:color w:val="231F20"/>
          <w:spacing w:val="-15"/>
        </w:rPr>
        <w:t> </w:t>
      </w:r>
      <w:r>
        <w:rPr>
          <w:color w:val="231F20"/>
        </w:rPr>
        <w:t>a</w:t>
      </w:r>
      <w:r>
        <w:rPr>
          <w:color w:val="231F20"/>
          <w:spacing w:val="-16"/>
        </w:rPr>
        <w:t> </w:t>
      </w:r>
      <w:r>
        <w:rPr>
          <w:color w:val="231F20"/>
        </w:rPr>
        <w:t>couple,</w:t>
      </w:r>
      <w:r>
        <w:rPr>
          <w:color w:val="231F20"/>
          <w:spacing w:val="-16"/>
        </w:rPr>
        <w:t> </w:t>
      </w:r>
      <w:r>
        <w:rPr>
          <w:color w:val="231F20"/>
        </w:rPr>
        <w:t>strug- gling along, arm in arm, supporting each other as they battle through life. </w:t>
      </w:r>
      <w:r>
        <w:rPr>
          <w:color w:val="231F20"/>
          <w:spacing w:val="-3"/>
        </w:rPr>
        <w:t>There </w:t>
      </w:r>
      <w:r>
        <w:rPr>
          <w:color w:val="231F20"/>
        </w:rPr>
        <w:t>is nothing particularly religious about this picture. As the front cover of a </w:t>
      </w:r>
      <w:r>
        <w:rPr>
          <w:color w:val="231F20"/>
          <w:spacing w:val="-3"/>
        </w:rPr>
        <w:t>docu- </w:t>
      </w:r>
      <w:r>
        <w:rPr>
          <w:color w:val="231F20"/>
        </w:rPr>
        <w:t>ment on love produced by the Bishops of the Catholic Church, the image </w:t>
      </w:r>
      <w:r>
        <w:rPr>
          <w:color w:val="231F20"/>
          <w:spacing w:val="-3"/>
        </w:rPr>
        <w:t>serves </w:t>
      </w:r>
      <w:r>
        <w:rPr>
          <w:color w:val="231F20"/>
        </w:rPr>
        <w:t>to</w:t>
      </w:r>
      <w:r>
        <w:rPr>
          <w:color w:val="231F20"/>
          <w:spacing w:val="-14"/>
        </w:rPr>
        <w:t> </w:t>
      </w:r>
      <w:r>
        <w:rPr>
          <w:color w:val="231F20"/>
        </w:rPr>
        <w:t>remind</w:t>
      </w:r>
      <w:r>
        <w:rPr>
          <w:color w:val="231F20"/>
          <w:spacing w:val="-14"/>
        </w:rPr>
        <w:t> </w:t>
      </w:r>
      <w:r>
        <w:rPr>
          <w:color w:val="231F20"/>
        </w:rPr>
        <w:t>us</w:t>
      </w:r>
      <w:r>
        <w:rPr>
          <w:color w:val="231F20"/>
          <w:spacing w:val="-14"/>
        </w:rPr>
        <w:t> </w:t>
      </w:r>
      <w:r>
        <w:rPr>
          <w:color w:val="231F20"/>
        </w:rPr>
        <w:t>that</w:t>
      </w:r>
      <w:r>
        <w:rPr>
          <w:color w:val="231F20"/>
          <w:spacing w:val="-14"/>
        </w:rPr>
        <w:t> </w:t>
      </w:r>
      <w:r>
        <w:rPr>
          <w:i/>
          <w:color w:val="231F20"/>
          <w:spacing w:val="-3"/>
        </w:rPr>
        <w:t>we</w:t>
      </w:r>
      <w:r>
        <w:rPr>
          <w:i/>
          <w:color w:val="231F20"/>
          <w:spacing w:val="-14"/>
        </w:rPr>
        <w:t> </w:t>
      </w:r>
      <w:r>
        <w:rPr>
          <w:i/>
          <w:color w:val="231F20"/>
        </w:rPr>
        <w:t>all</w:t>
      </w:r>
      <w:r>
        <w:rPr>
          <w:i/>
          <w:color w:val="231F20"/>
          <w:spacing w:val="-14"/>
        </w:rPr>
        <w:t> </w:t>
      </w:r>
      <w:r>
        <w:rPr>
          <w:color w:val="231F20"/>
        </w:rPr>
        <w:t>need</w:t>
      </w:r>
      <w:r>
        <w:rPr>
          <w:color w:val="231F20"/>
          <w:spacing w:val="-14"/>
        </w:rPr>
        <w:t> </w:t>
      </w:r>
      <w:r>
        <w:rPr>
          <w:color w:val="231F20"/>
        </w:rPr>
        <w:t>to</w:t>
      </w:r>
      <w:r>
        <w:rPr>
          <w:color w:val="231F20"/>
          <w:spacing w:val="-14"/>
        </w:rPr>
        <w:t> </w:t>
      </w:r>
      <w:r>
        <w:rPr>
          <w:color w:val="231F20"/>
        </w:rPr>
        <w:t>learn</w:t>
      </w:r>
      <w:r>
        <w:rPr>
          <w:color w:val="231F20"/>
          <w:spacing w:val="-14"/>
        </w:rPr>
        <w:t> </w:t>
      </w:r>
      <w:r>
        <w:rPr>
          <w:color w:val="231F20"/>
        </w:rPr>
        <w:t>lessons</w:t>
      </w:r>
      <w:r>
        <w:rPr>
          <w:color w:val="231F20"/>
          <w:spacing w:val="-14"/>
        </w:rPr>
        <w:t> </w:t>
      </w:r>
      <w:r>
        <w:rPr>
          <w:color w:val="231F20"/>
        </w:rPr>
        <w:t>in</w:t>
      </w:r>
      <w:r>
        <w:rPr>
          <w:color w:val="231F20"/>
          <w:spacing w:val="-14"/>
        </w:rPr>
        <w:t> </w:t>
      </w:r>
      <w:r>
        <w:rPr>
          <w:color w:val="231F20"/>
        </w:rPr>
        <w:t>love,</w:t>
      </w:r>
      <w:r>
        <w:rPr>
          <w:color w:val="231F20"/>
          <w:spacing w:val="-14"/>
        </w:rPr>
        <w:t> </w:t>
      </w:r>
      <w:r>
        <w:rPr>
          <w:color w:val="231F20"/>
        </w:rPr>
        <w:t>and</w:t>
      </w:r>
      <w:r>
        <w:rPr>
          <w:color w:val="231F20"/>
          <w:spacing w:val="-14"/>
        </w:rPr>
        <w:t> </w:t>
      </w:r>
      <w:r>
        <w:rPr>
          <w:color w:val="231F20"/>
        </w:rPr>
        <w:t>to</w:t>
      </w:r>
      <w:r>
        <w:rPr>
          <w:color w:val="231F20"/>
          <w:spacing w:val="-14"/>
        </w:rPr>
        <w:t> </w:t>
      </w:r>
      <w:r>
        <w:rPr>
          <w:color w:val="231F20"/>
        </w:rPr>
        <w:t>ﬁnd</w:t>
      </w:r>
      <w:r>
        <w:rPr>
          <w:color w:val="231F20"/>
          <w:spacing w:val="-14"/>
        </w:rPr>
        <w:t> </w:t>
      </w:r>
      <w:r>
        <w:rPr>
          <w:color w:val="231F20"/>
        </w:rPr>
        <w:t>joy</w:t>
      </w:r>
      <w:r>
        <w:rPr>
          <w:color w:val="231F20"/>
          <w:spacing w:val="-14"/>
        </w:rPr>
        <w:t> </w:t>
      </w:r>
      <w:r>
        <w:rPr>
          <w:color w:val="231F20"/>
        </w:rPr>
        <w:t>and</w:t>
      </w:r>
      <w:r>
        <w:rPr>
          <w:color w:val="231F20"/>
          <w:spacing w:val="-14"/>
        </w:rPr>
        <w:t> </w:t>
      </w:r>
      <w:r>
        <w:rPr>
          <w:color w:val="231F20"/>
        </w:rPr>
        <w:t>fulﬁlment in life.</w:t>
      </w:r>
    </w:p>
    <w:p>
      <w:pPr>
        <w:spacing w:after="0" w:line="216" w:lineRule="auto"/>
        <w:sectPr>
          <w:type w:val="continuous"/>
          <w:pgSz w:w="11910" w:h="16840"/>
          <w:pgMar w:top="1320" w:bottom="1640" w:left="160" w:right="220"/>
        </w:sectPr>
      </w:pPr>
    </w:p>
    <w:p>
      <w:pPr>
        <w:spacing w:before="74"/>
        <w:ind w:left="780" w:right="0" w:firstLine="0"/>
        <w:jc w:val="both"/>
        <w:rPr>
          <w:rFonts w:ascii="Palatino Linotype"/>
          <w:sz w:val="48"/>
        </w:rPr>
      </w:pPr>
      <w:r>
        <w:rPr>
          <w:rFonts w:ascii="Palatino Linotype"/>
          <w:color w:val="008790"/>
          <w:sz w:val="48"/>
        </w:rPr>
        <w:t>chapter 1 - our incomplete identity</w:t>
      </w:r>
    </w:p>
    <w:p>
      <w:pPr>
        <w:pStyle w:val="Heading5"/>
        <w:spacing w:line="216" w:lineRule="auto" w:before="337"/>
        <w:ind w:left="783" w:right="775"/>
      </w:pPr>
      <w:r>
        <w:rPr>
          <w:color w:val="231F20"/>
        </w:rPr>
        <w:t>We are clothed, or we clothe ourselves in complex layers of identity. We present ourselves to the world as we would like to be seen. Some of these identities we adopt to cover up what we perceive as human weaknesses, some of them we acquire to enable us to fulﬁl our vocation in life, and beneath all of these, at the most basic level, lies the biological identity which we receive at the moment of our conception.</w:t>
      </w:r>
    </w:p>
    <w:p>
      <w:pPr>
        <w:pStyle w:val="BodyText"/>
        <w:spacing w:before="12"/>
        <w:rPr>
          <w:rFonts w:ascii="Palatino Linotype"/>
          <w:sz w:val="25"/>
        </w:rPr>
      </w:pPr>
    </w:p>
    <w:p>
      <w:pPr>
        <w:pStyle w:val="Heading5"/>
        <w:spacing w:line="216" w:lineRule="auto" w:before="1"/>
        <w:ind w:left="783" w:right="775"/>
      </w:pPr>
      <w:r>
        <w:rPr>
          <w:color w:val="231F20"/>
        </w:rPr>
        <w:t>Our</w:t>
      </w:r>
      <w:r>
        <w:rPr>
          <w:color w:val="231F20"/>
          <w:spacing w:val="-21"/>
        </w:rPr>
        <w:t> </w:t>
      </w:r>
      <w:r>
        <w:rPr>
          <w:color w:val="231F20"/>
        </w:rPr>
        <w:t>faith</w:t>
      </w:r>
      <w:r>
        <w:rPr>
          <w:color w:val="231F20"/>
          <w:spacing w:val="-21"/>
        </w:rPr>
        <w:t> </w:t>
      </w:r>
      <w:r>
        <w:rPr>
          <w:color w:val="231F20"/>
        </w:rPr>
        <w:t>teaches</w:t>
      </w:r>
      <w:r>
        <w:rPr>
          <w:color w:val="231F20"/>
          <w:spacing w:val="-21"/>
        </w:rPr>
        <w:t> </w:t>
      </w:r>
      <w:r>
        <w:rPr>
          <w:color w:val="231F20"/>
        </w:rPr>
        <w:t>that</w:t>
      </w:r>
      <w:r>
        <w:rPr>
          <w:color w:val="231F20"/>
          <w:spacing w:val="-21"/>
        </w:rPr>
        <w:t> </w:t>
      </w:r>
      <w:r>
        <w:rPr>
          <w:color w:val="231F20"/>
        </w:rPr>
        <w:t>beneath</w:t>
      </w:r>
      <w:r>
        <w:rPr>
          <w:color w:val="231F20"/>
          <w:spacing w:val="-21"/>
        </w:rPr>
        <w:t> </w:t>
      </w:r>
      <w:r>
        <w:rPr>
          <w:color w:val="231F20"/>
        </w:rPr>
        <w:t>these</w:t>
      </w:r>
      <w:r>
        <w:rPr>
          <w:color w:val="231F20"/>
          <w:spacing w:val="-21"/>
        </w:rPr>
        <w:t> </w:t>
      </w:r>
      <w:r>
        <w:rPr>
          <w:color w:val="231F20"/>
        </w:rPr>
        <w:t>foundations</w:t>
      </w:r>
      <w:r>
        <w:rPr>
          <w:color w:val="231F20"/>
          <w:spacing w:val="-21"/>
        </w:rPr>
        <w:t> </w:t>
      </w:r>
      <w:r>
        <w:rPr>
          <w:color w:val="231F20"/>
          <w:spacing w:val="-3"/>
        </w:rPr>
        <w:t>we</w:t>
      </w:r>
      <w:r>
        <w:rPr>
          <w:color w:val="231F20"/>
          <w:spacing w:val="-20"/>
        </w:rPr>
        <w:t> </w:t>
      </w:r>
      <w:r>
        <w:rPr>
          <w:color w:val="231F20"/>
        </w:rPr>
        <w:t>experience</w:t>
      </w:r>
      <w:r>
        <w:rPr>
          <w:color w:val="231F20"/>
          <w:spacing w:val="-21"/>
        </w:rPr>
        <w:t> </w:t>
      </w:r>
      <w:r>
        <w:rPr>
          <w:color w:val="231F20"/>
        </w:rPr>
        <w:t>a</w:t>
      </w:r>
      <w:r>
        <w:rPr>
          <w:color w:val="231F20"/>
          <w:spacing w:val="-21"/>
        </w:rPr>
        <w:t> </w:t>
      </w:r>
      <w:r>
        <w:rPr>
          <w:color w:val="231F20"/>
        </w:rPr>
        <w:t>crisis</w:t>
      </w:r>
      <w:r>
        <w:rPr>
          <w:color w:val="231F20"/>
          <w:spacing w:val="-21"/>
        </w:rPr>
        <w:t> </w:t>
      </w:r>
      <w:r>
        <w:rPr>
          <w:color w:val="231F20"/>
        </w:rPr>
        <w:t>of</w:t>
      </w:r>
      <w:r>
        <w:rPr>
          <w:color w:val="231F20"/>
          <w:spacing w:val="-21"/>
        </w:rPr>
        <w:t> </w:t>
      </w:r>
      <w:r>
        <w:rPr>
          <w:color w:val="231F20"/>
        </w:rPr>
        <w:t>identity. In</w:t>
      </w:r>
      <w:r>
        <w:rPr>
          <w:color w:val="231F20"/>
          <w:spacing w:val="-14"/>
        </w:rPr>
        <w:t> </w:t>
      </w:r>
      <w:r>
        <w:rPr>
          <w:color w:val="231F20"/>
        </w:rPr>
        <w:t>the</w:t>
      </w:r>
      <w:r>
        <w:rPr>
          <w:color w:val="231F20"/>
          <w:spacing w:val="-14"/>
        </w:rPr>
        <w:t> </w:t>
      </w:r>
      <w:r>
        <w:rPr>
          <w:color w:val="231F20"/>
        </w:rPr>
        <w:t>ﬁrst</w:t>
      </w:r>
      <w:r>
        <w:rPr>
          <w:color w:val="231F20"/>
          <w:spacing w:val="-13"/>
        </w:rPr>
        <w:t> </w:t>
      </w:r>
      <w:r>
        <w:rPr>
          <w:color w:val="231F20"/>
        </w:rPr>
        <w:t>account</w:t>
      </w:r>
      <w:r>
        <w:rPr>
          <w:color w:val="231F20"/>
          <w:spacing w:val="-14"/>
        </w:rPr>
        <w:t> </w:t>
      </w:r>
      <w:r>
        <w:rPr>
          <w:color w:val="231F20"/>
        </w:rPr>
        <w:t>of</w:t>
      </w:r>
      <w:r>
        <w:rPr>
          <w:color w:val="231F20"/>
          <w:spacing w:val="-13"/>
        </w:rPr>
        <w:t> </w:t>
      </w:r>
      <w:r>
        <w:rPr>
          <w:color w:val="231F20"/>
        </w:rPr>
        <w:t>our</w:t>
      </w:r>
      <w:r>
        <w:rPr>
          <w:color w:val="231F20"/>
          <w:spacing w:val="-14"/>
        </w:rPr>
        <w:t> </w:t>
      </w:r>
      <w:r>
        <w:rPr>
          <w:color w:val="231F20"/>
        </w:rPr>
        <w:t>creation</w:t>
      </w:r>
      <w:r>
        <w:rPr>
          <w:color w:val="231F20"/>
          <w:spacing w:val="-13"/>
        </w:rPr>
        <w:t> </w:t>
      </w:r>
      <w:r>
        <w:rPr>
          <w:color w:val="231F20"/>
        </w:rPr>
        <w:t>in</w:t>
      </w:r>
      <w:r>
        <w:rPr>
          <w:color w:val="231F20"/>
          <w:spacing w:val="-14"/>
        </w:rPr>
        <w:t> </w:t>
      </w:r>
      <w:r>
        <w:rPr>
          <w:color w:val="231F20"/>
        </w:rPr>
        <w:t>the</w:t>
      </w:r>
      <w:r>
        <w:rPr>
          <w:color w:val="231F20"/>
          <w:spacing w:val="-13"/>
        </w:rPr>
        <w:t> </w:t>
      </w:r>
      <w:r>
        <w:rPr>
          <w:color w:val="231F20"/>
        </w:rPr>
        <w:t>Bible,</w:t>
      </w:r>
      <w:r>
        <w:rPr>
          <w:color w:val="231F20"/>
          <w:spacing w:val="-14"/>
        </w:rPr>
        <w:t> </w:t>
      </w:r>
      <w:r>
        <w:rPr>
          <w:color w:val="231F20"/>
          <w:spacing w:val="-3"/>
        </w:rPr>
        <w:t>we</w:t>
      </w:r>
      <w:r>
        <w:rPr>
          <w:color w:val="231F20"/>
          <w:spacing w:val="-13"/>
        </w:rPr>
        <w:t> </w:t>
      </w:r>
      <w:r>
        <w:rPr>
          <w:color w:val="231F20"/>
        </w:rPr>
        <w:t>read</w:t>
      </w:r>
      <w:r>
        <w:rPr>
          <w:color w:val="231F20"/>
          <w:spacing w:val="-14"/>
        </w:rPr>
        <w:t> </w:t>
      </w:r>
      <w:r>
        <w:rPr>
          <w:color w:val="231F20"/>
        </w:rPr>
        <w:t>how</w:t>
      </w:r>
      <w:r>
        <w:rPr>
          <w:color w:val="231F20"/>
          <w:spacing w:val="-13"/>
        </w:rPr>
        <w:t> </w:t>
      </w:r>
      <w:r>
        <w:rPr>
          <w:color w:val="231F20"/>
          <w:spacing w:val="-3"/>
        </w:rPr>
        <w:t>we</w:t>
      </w:r>
      <w:r>
        <w:rPr>
          <w:color w:val="231F20"/>
          <w:spacing w:val="-14"/>
        </w:rPr>
        <w:t> </w:t>
      </w:r>
      <w:r>
        <w:rPr>
          <w:color w:val="231F20"/>
        </w:rPr>
        <w:t>are</w:t>
      </w:r>
      <w:r>
        <w:rPr>
          <w:color w:val="231F20"/>
          <w:spacing w:val="-13"/>
        </w:rPr>
        <w:t> </w:t>
      </w:r>
      <w:r>
        <w:rPr>
          <w:color w:val="231F20"/>
        </w:rPr>
        <w:t>made</w:t>
      </w:r>
      <w:r>
        <w:rPr>
          <w:color w:val="231F20"/>
          <w:spacing w:val="-14"/>
        </w:rPr>
        <w:t> </w:t>
      </w:r>
      <w:r>
        <w:rPr>
          <w:color w:val="231F20"/>
        </w:rPr>
        <w:t>in</w:t>
      </w:r>
      <w:r>
        <w:rPr>
          <w:color w:val="231F20"/>
          <w:spacing w:val="-13"/>
        </w:rPr>
        <w:t> </w:t>
      </w:r>
      <w:r>
        <w:rPr>
          <w:color w:val="231F20"/>
        </w:rPr>
        <w:t>God's image,</w:t>
      </w:r>
      <w:r>
        <w:rPr>
          <w:color w:val="231F20"/>
          <w:spacing w:val="-6"/>
        </w:rPr>
        <w:t> </w:t>
      </w:r>
      <w:r>
        <w:rPr>
          <w:color w:val="231F20"/>
        </w:rPr>
        <w:t>and</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next</w:t>
      </w:r>
      <w:r>
        <w:rPr>
          <w:color w:val="231F20"/>
          <w:spacing w:val="-6"/>
        </w:rPr>
        <w:t> </w:t>
      </w:r>
      <w:r>
        <w:rPr>
          <w:color w:val="231F20"/>
        </w:rPr>
        <w:t>breath,</w:t>
      </w:r>
      <w:r>
        <w:rPr>
          <w:color w:val="231F20"/>
          <w:spacing w:val="-6"/>
        </w:rPr>
        <w:t> </w:t>
      </w:r>
      <w:r>
        <w:rPr>
          <w:color w:val="231F20"/>
        </w:rPr>
        <w:t>made</w:t>
      </w:r>
      <w:r>
        <w:rPr>
          <w:color w:val="231F20"/>
          <w:spacing w:val="-6"/>
        </w:rPr>
        <w:t> </w:t>
      </w:r>
      <w:r>
        <w:rPr>
          <w:color w:val="231F20"/>
        </w:rPr>
        <w:t>male</w:t>
      </w:r>
      <w:r>
        <w:rPr>
          <w:color w:val="231F20"/>
          <w:spacing w:val="-6"/>
        </w:rPr>
        <w:t> </w:t>
      </w:r>
      <w:r>
        <w:rPr>
          <w:color w:val="231F20"/>
        </w:rPr>
        <w:t>and</w:t>
      </w:r>
      <w:r>
        <w:rPr>
          <w:color w:val="231F20"/>
          <w:spacing w:val="-6"/>
        </w:rPr>
        <w:t> </w:t>
      </w:r>
      <w:r>
        <w:rPr>
          <w:color w:val="231F20"/>
        </w:rPr>
        <w:t>female.</w:t>
      </w:r>
      <w:r>
        <w:rPr>
          <w:color w:val="231F20"/>
          <w:spacing w:val="-6"/>
        </w:rPr>
        <w:t> </w:t>
      </w:r>
      <w:r>
        <w:rPr>
          <w:color w:val="231F20"/>
        </w:rPr>
        <w:t>Only</w:t>
      </w:r>
      <w:r>
        <w:rPr>
          <w:color w:val="231F20"/>
          <w:spacing w:val="-6"/>
        </w:rPr>
        <w:t> </w:t>
      </w:r>
      <w:r>
        <w:rPr>
          <w:color w:val="231F20"/>
        </w:rPr>
        <w:t>then</w:t>
      </w:r>
      <w:r>
        <w:rPr>
          <w:color w:val="231F20"/>
          <w:spacing w:val="-6"/>
        </w:rPr>
        <w:t> </w:t>
      </w:r>
      <w:r>
        <w:rPr>
          <w:color w:val="231F20"/>
        </w:rPr>
        <w:t>does</w:t>
      </w:r>
      <w:r>
        <w:rPr>
          <w:color w:val="231F20"/>
          <w:spacing w:val="-6"/>
        </w:rPr>
        <w:t> </w:t>
      </w:r>
      <w:r>
        <w:rPr>
          <w:color w:val="231F20"/>
        </w:rPr>
        <w:t>God</w:t>
      </w:r>
      <w:r>
        <w:rPr>
          <w:color w:val="231F20"/>
          <w:spacing w:val="-6"/>
        </w:rPr>
        <w:t> </w:t>
      </w:r>
      <w:r>
        <w:rPr>
          <w:color w:val="231F20"/>
        </w:rPr>
        <w:t>recog- nise His self-portrait as being ‘very</w:t>
      </w:r>
      <w:r>
        <w:rPr>
          <w:color w:val="231F20"/>
          <w:spacing w:val="-1"/>
        </w:rPr>
        <w:t> </w:t>
      </w:r>
      <w:r>
        <w:rPr>
          <w:color w:val="231F20"/>
        </w:rPr>
        <w:t>good’:</w:t>
      </w:r>
    </w:p>
    <w:p>
      <w:pPr>
        <w:pStyle w:val="BodyText"/>
        <w:spacing w:before="9"/>
        <w:rPr>
          <w:rFonts w:ascii="Palatino Linotype"/>
          <w:sz w:val="25"/>
        </w:rPr>
      </w:pPr>
    </w:p>
    <w:p>
      <w:pPr>
        <w:pStyle w:val="Heading6"/>
        <w:tabs>
          <w:tab w:pos="10468" w:val="left" w:leader="none"/>
        </w:tabs>
        <w:spacing w:line="216" w:lineRule="auto"/>
        <w:ind w:left="1163" w:right="775" w:hanging="132"/>
      </w:pPr>
      <w:r>
        <w:rPr>
          <w:i/>
          <w:color w:val="231F20"/>
        </w:rPr>
        <w:t>God created man in His own image in the image of God He created him; made and</w:t>
        <w:tab/>
      </w:r>
      <w:r>
        <w:rPr>
          <w:i/>
          <w:color w:val="231F20"/>
          <w:spacing w:val="-6"/>
        </w:rPr>
        <w:t>fe-</w:t>
      </w:r>
      <w:r>
        <w:rPr>
          <w:color w:val="231F20"/>
        </w:rPr>
        <w:t> male He created them. And God saw everything that He had made, and behold, it</w:t>
      </w:r>
      <w:r>
        <w:rPr>
          <w:color w:val="231F20"/>
          <w:spacing w:val="-13"/>
        </w:rPr>
        <w:t> </w:t>
      </w:r>
      <w:r>
        <w:rPr>
          <w:color w:val="231F20"/>
          <w:spacing w:val="-9"/>
        </w:rPr>
        <w:t>was</w:t>
      </w:r>
    </w:p>
    <w:p>
      <w:pPr>
        <w:pStyle w:val="Heading6"/>
        <w:spacing w:line="333" w:lineRule="exact"/>
        <w:ind w:right="775"/>
        <w:rPr>
          <w:i/>
        </w:rPr>
      </w:pPr>
      <w:r>
        <w:rPr>
          <w:i/>
          <w:color w:val="231F20"/>
        </w:rPr>
        <w:t>very</w:t>
      </w:r>
      <w:r>
        <w:rPr>
          <w:i/>
          <w:color w:val="231F20"/>
          <w:spacing w:val="-5"/>
        </w:rPr>
        <w:t> </w:t>
      </w:r>
      <w:r>
        <w:rPr>
          <w:i/>
          <w:color w:val="231F20"/>
        </w:rPr>
        <w:t>good.</w:t>
      </w:r>
    </w:p>
    <w:p>
      <w:pPr>
        <w:pStyle w:val="Heading5"/>
        <w:spacing w:line="360" w:lineRule="exact"/>
        <w:ind w:right="775"/>
        <w:jc w:val="right"/>
      </w:pPr>
      <w:r>
        <w:rPr>
          <w:color w:val="231F20"/>
        </w:rPr>
        <w:t>Genesis 1:27-31</w:t>
      </w:r>
    </w:p>
    <w:p>
      <w:pPr>
        <w:pStyle w:val="Heading5"/>
        <w:spacing w:line="216" w:lineRule="auto" w:before="335"/>
        <w:ind w:left="783" w:right="775"/>
      </w:pPr>
      <w:r>
        <w:rPr>
          <w:color w:val="231F20"/>
        </w:rPr>
        <w:t>However in the next chapter of Genesis, in another account, we hear how God made</w:t>
      </w:r>
      <w:r>
        <w:rPr>
          <w:color w:val="231F20"/>
          <w:spacing w:val="-7"/>
        </w:rPr>
        <w:t> </w:t>
      </w:r>
      <w:r>
        <w:rPr>
          <w:color w:val="231F20"/>
        </w:rPr>
        <w:t>His</w:t>
      </w:r>
      <w:r>
        <w:rPr>
          <w:color w:val="231F20"/>
          <w:spacing w:val="-7"/>
        </w:rPr>
        <w:t> </w:t>
      </w:r>
      <w:r>
        <w:rPr>
          <w:color w:val="231F20"/>
        </w:rPr>
        <w:t>self-portrait</w:t>
      </w:r>
      <w:r>
        <w:rPr>
          <w:color w:val="231F20"/>
          <w:spacing w:val="-7"/>
        </w:rPr>
        <w:t> </w:t>
      </w:r>
      <w:r>
        <w:rPr>
          <w:color w:val="231F20"/>
        </w:rPr>
        <w:t>only</w:t>
      </w:r>
      <w:r>
        <w:rPr>
          <w:color w:val="231F20"/>
          <w:spacing w:val="-7"/>
        </w:rPr>
        <w:t> </w:t>
      </w:r>
      <w:r>
        <w:rPr>
          <w:color w:val="231F20"/>
        </w:rPr>
        <w:t>to</w:t>
      </w:r>
      <w:r>
        <w:rPr>
          <w:color w:val="231F20"/>
          <w:spacing w:val="-7"/>
        </w:rPr>
        <w:t> </w:t>
      </w:r>
      <w:r>
        <w:rPr>
          <w:color w:val="231F20"/>
        </w:rPr>
        <w:t>break</w:t>
      </w:r>
      <w:r>
        <w:rPr>
          <w:color w:val="231F20"/>
          <w:spacing w:val="-7"/>
        </w:rPr>
        <w:t> </w:t>
      </w:r>
      <w:r>
        <w:rPr>
          <w:color w:val="231F20"/>
        </w:rPr>
        <w:t>it</w:t>
      </w:r>
      <w:r>
        <w:rPr>
          <w:color w:val="231F20"/>
          <w:spacing w:val="-7"/>
        </w:rPr>
        <w:t> </w:t>
      </w:r>
      <w:r>
        <w:rPr>
          <w:color w:val="231F20"/>
        </w:rPr>
        <w:t>apart,</w:t>
      </w:r>
      <w:r>
        <w:rPr>
          <w:color w:val="231F20"/>
          <w:spacing w:val="-7"/>
        </w:rPr>
        <w:t> </w:t>
      </w:r>
      <w:r>
        <w:rPr>
          <w:color w:val="231F20"/>
        </w:rPr>
        <w:t>so</w:t>
      </w:r>
      <w:r>
        <w:rPr>
          <w:color w:val="231F20"/>
          <w:spacing w:val="-7"/>
        </w:rPr>
        <w:t> </w:t>
      </w:r>
      <w:r>
        <w:rPr>
          <w:color w:val="231F20"/>
        </w:rPr>
        <w:t>as</w:t>
      </w:r>
      <w:r>
        <w:rPr>
          <w:color w:val="231F20"/>
          <w:spacing w:val="-7"/>
        </w:rPr>
        <w:t> </w:t>
      </w:r>
      <w:r>
        <w:rPr>
          <w:color w:val="231F20"/>
        </w:rPr>
        <w:t>to</w:t>
      </w:r>
      <w:r>
        <w:rPr>
          <w:color w:val="231F20"/>
          <w:spacing w:val="-7"/>
        </w:rPr>
        <w:t> </w:t>
      </w:r>
      <w:r>
        <w:rPr>
          <w:color w:val="231F20"/>
        </w:rPr>
        <w:t>create</w:t>
      </w:r>
      <w:r>
        <w:rPr>
          <w:color w:val="231F20"/>
          <w:spacing w:val="-7"/>
        </w:rPr>
        <w:t> </w:t>
      </w:r>
      <w:r>
        <w:rPr>
          <w:color w:val="231F20"/>
        </w:rPr>
        <w:t>a</w:t>
      </w:r>
      <w:r>
        <w:rPr>
          <w:color w:val="231F20"/>
          <w:spacing w:val="-7"/>
        </w:rPr>
        <w:t> </w:t>
      </w:r>
      <w:r>
        <w:rPr>
          <w:color w:val="231F20"/>
        </w:rPr>
        <w:t>companion,</w:t>
      </w:r>
      <w:r>
        <w:rPr>
          <w:color w:val="231F20"/>
          <w:spacing w:val="-7"/>
        </w:rPr>
        <w:t> </w:t>
      </w:r>
      <w:r>
        <w:rPr>
          <w:color w:val="231F20"/>
        </w:rPr>
        <w:t>because otherwise he would be lonely:</w:t>
      </w:r>
    </w:p>
    <w:p>
      <w:pPr>
        <w:pStyle w:val="Heading6"/>
        <w:spacing w:line="216" w:lineRule="auto" w:before="220"/>
        <w:ind w:left="1542" w:right="741" w:firstLine="13"/>
      </w:pPr>
      <w:r>
        <w:rPr>
          <w:i/>
          <w:color w:val="231F20"/>
        </w:rPr>
        <w:t>It is not good that the man should be alone; So the Lord God caused a deep</w:t>
      </w:r>
      <w:r>
        <w:rPr>
          <w:i/>
          <w:color w:val="231F20"/>
          <w:spacing w:val="1"/>
        </w:rPr>
        <w:t> </w:t>
      </w:r>
      <w:r>
        <w:rPr>
          <w:i/>
          <w:color w:val="231F20"/>
        </w:rPr>
        <w:t>sleep </w:t>
      </w:r>
      <w:r>
        <w:rPr>
          <w:i/>
          <w:color w:val="231F20"/>
          <w:spacing w:val="-9"/>
        </w:rPr>
        <w:t>to</w:t>
      </w:r>
      <w:r>
        <w:rPr>
          <w:color w:val="231F20"/>
        </w:rPr>
        <w:t> fall upon the man, and he slept; then He took one of his ribs and closed up</w:t>
      </w:r>
      <w:r>
        <w:rPr>
          <w:color w:val="231F20"/>
          <w:spacing w:val="2"/>
        </w:rPr>
        <w:t> </w:t>
      </w:r>
      <w:r>
        <w:rPr>
          <w:color w:val="231F20"/>
        </w:rPr>
        <w:t>its </w:t>
      </w:r>
      <w:r>
        <w:rPr>
          <w:color w:val="231F20"/>
          <w:spacing w:val="-4"/>
        </w:rPr>
        <w:t>place</w:t>
      </w:r>
      <w:r>
        <w:rPr>
          <w:color w:val="231F20"/>
        </w:rPr>
        <w:t> with ﬂesh. And the rib that the Lord God and taken from the man he made into</w:t>
      </w:r>
      <w:r>
        <w:rPr>
          <w:color w:val="231F20"/>
          <w:spacing w:val="-11"/>
        </w:rPr>
        <w:t> </w:t>
      </w:r>
      <w:r>
        <w:rPr>
          <w:color w:val="231F20"/>
        </w:rPr>
        <w:t>a</w:t>
      </w:r>
    </w:p>
    <w:p>
      <w:pPr>
        <w:pStyle w:val="Heading6"/>
        <w:spacing w:line="216" w:lineRule="auto" w:before="4"/>
        <w:ind w:left="1330" w:right="741" w:firstLine="5409"/>
      </w:pPr>
      <w:r>
        <w:rPr>
          <w:i/>
          <w:color w:val="231F20"/>
        </w:rPr>
        <w:t>woman and brought her to the </w:t>
      </w:r>
      <w:r>
        <w:rPr>
          <w:i/>
          <w:color w:val="231F20"/>
          <w:spacing w:val="-4"/>
        </w:rPr>
        <w:t>man.</w:t>
      </w:r>
      <w:r>
        <w:rPr>
          <w:color w:val="231F20"/>
        </w:rPr>
        <w:t> Therefore a man leaves his father and his mother and clings to his wife,</w:t>
      </w:r>
      <w:r>
        <w:rPr>
          <w:color w:val="231F20"/>
          <w:spacing w:val="-5"/>
        </w:rPr>
        <w:t> </w:t>
      </w:r>
      <w:r>
        <w:rPr>
          <w:color w:val="231F20"/>
        </w:rPr>
        <w:t>and they become one ﬂesh. And the man and his wife were both naked, and were not</w:t>
      </w:r>
      <w:r>
        <w:rPr>
          <w:color w:val="231F20"/>
          <w:spacing w:val="-37"/>
        </w:rPr>
        <w:t> </w:t>
      </w:r>
      <w:r>
        <w:rPr>
          <w:color w:val="231F20"/>
        </w:rPr>
        <w:t>ashamed.</w:t>
      </w:r>
    </w:p>
    <w:p>
      <w:pPr>
        <w:pStyle w:val="Heading5"/>
        <w:spacing w:line="353" w:lineRule="exact"/>
        <w:ind w:right="741"/>
        <w:jc w:val="right"/>
      </w:pPr>
      <w:r>
        <w:rPr>
          <w:color w:val="231F20"/>
        </w:rPr>
        <w:t>Gen 2:18a.21-.24-25</w:t>
      </w:r>
    </w:p>
    <w:p>
      <w:pPr>
        <w:pStyle w:val="BodyText"/>
        <w:spacing w:before="6"/>
        <w:rPr>
          <w:rFonts w:ascii="Palatino Linotype"/>
          <w:sz w:val="8"/>
        </w:rPr>
      </w:pPr>
    </w:p>
    <w:p>
      <w:pPr>
        <w:pStyle w:val="Heading5"/>
        <w:spacing w:line="216" w:lineRule="auto" w:before="129"/>
        <w:ind w:left="823" w:right="6220"/>
      </w:pPr>
      <w:r>
        <w:rPr/>
        <w:drawing>
          <wp:anchor distT="0" distB="0" distL="0" distR="0" allowOverlap="1" layoutInCell="1" locked="0" behindDoc="0" simplePos="0" relativeHeight="251682816">
            <wp:simplePos x="0" y="0"/>
            <wp:positionH relativeFrom="page">
              <wp:posOffset>3678580</wp:posOffset>
            </wp:positionH>
            <wp:positionV relativeFrom="paragraph">
              <wp:posOffset>129356</wp:posOffset>
            </wp:positionV>
            <wp:extent cx="3250374" cy="2326906"/>
            <wp:effectExtent l="0" t="0" r="0" b="0"/>
            <wp:wrapNone/>
            <wp:docPr id="37" name="image16.jpeg"/>
            <wp:cNvGraphicFramePr>
              <a:graphicFrameLocks noChangeAspect="1"/>
            </wp:cNvGraphicFramePr>
            <a:graphic>
              <a:graphicData uri="http://schemas.openxmlformats.org/drawingml/2006/picture">
                <pic:pic>
                  <pic:nvPicPr>
                    <pic:cNvPr id="38" name="image16.jpeg"/>
                    <pic:cNvPicPr/>
                  </pic:nvPicPr>
                  <pic:blipFill>
                    <a:blip r:embed="rId129" cstate="print"/>
                    <a:stretch>
                      <a:fillRect/>
                    </a:stretch>
                  </pic:blipFill>
                  <pic:spPr>
                    <a:xfrm>
                      <a:off x="0" y="0"/>
                      <a:ext cx="3250374" cy="2326906"/>
                    </a:xfrm>
                    <a:prstGeom prst="rect">
                      <a:avLst/>
                    </a:prstGeom>
                  </pic:spPr>
                </pic:pic>
              </a:graphicData>
            </a:graphic>
          </wp:anchor>
        </w:drawing>
      </w:r>
      <w:r>
        <w:rPr>
          <w:color w:val="231F20"/>
        </w:rPr>
        <w:t>Adam and Eve, to whom </w:t>
      </w:r>
      <w:r>
        <w:rPr>
          <w:color w:val="231F20"/>
          <w:spacing w:val="-3"/>
        </w:rPr>
        <w:t>we </w:t>
      </w:r>
      <w:r>
        <w:rPr>
          <w:color w:val="231F20"/>
        </w:rPr>
        <w:t>look </w:t>
      </w:r>
      <w:r>
        <w:rPr>
          <w:color w:val="231F20"/>
          <w:spacing w:val="-6"/>
        </w:rPr>
        <w:t>in </w:t>
      </w:r>
      <w:r>
        <w:rPr>
          <w:color w:val="231F20"/>
        </w:rPr>
        <w:t>order to learn about our human nature, are presented in this </w:t>
      </w:r>
      <w:r>
        <w:rPr>
          <w:color w:val="231F20"/>
          <w:spacing w:val="-3"/>
        </w:rPr>
        <w:t>account </w:t>
      </w:r>
      <w:r>
        <w:rPr>
          <w:color w:val="231F20"/>
        </w:rPr>
        <w:t>as dependent upon each other.</w:t>
      </w:r>
    </w:p>
    <w:p>
      <w:pPr>
        <w:pStyle w:val="BodyText"/>
        <w:spacing w:before="10"/>
        <w:rPr>
          <w:rFonts w:ascii="Palatino Linotype"/>
          <w:sz w:val="25"/>
        </w:rPr>
      </w:pPr>
    </w:p>
    <w:p>
      <w:pPr>
        <w:pStyle w:val="Heading5"/>
        <w:spacing w:line="216" w:lineRule="auto"/>
        <w:ind w:left="823" w:right="6222" w:hanging="1"/>
      </w:pPr>
      <w:r>
        <w:rPr>
          <w:color w:val="231F20"/>
        </w:rPr>
        <w:t>And</w:t>
      </w:r>
      <w:r>
        <w:rPr>
          <w:color w:val="231F20"/>
          <w:spacing w:val="-17"/>
        </w:rPr>
        <w:t> </w:t>
      </w:r>
      <w:r>
        <w:rPr>
          <w:color w:val="231F20"/>
        </w:rPr>
        <w:t>that</w:t>
      </w:r>
      <w:r>
        <w:rPr>
          <w:color w:val="231F20"/>
          <w:spacing w:val="-17"/>
        </w:rPr>
        <w:t> </w:t>
      </w:r>
      <w:r>
        <w:rPr>
          <w:color w:val="231F20"/>
        </w:rPr>
        <w:t>is</w:t>
      </w:r>
      <w:r>
        <w:rPr>
          <w:color w:val="231F20"/>
          <w:spacing w:val="-17"/>
        </w:rPr>
        <w:t> </w:t>
      </w:r>
      <w:r>
        <w:rPr>
          <w:color w:val="231F20"/>
        </w:rPr>
        <w:t>how</w:t>
      </w:r>
      <w:r>
        <w:rPr>
          <w:color w:val="231F20"/>
          <w:spacing w:val="-17"/>
        </w:rPr>
        <w:t> </w:t>
      </w:r>
      <w:r>
        <w:rPr>
          <w:color w:val="231F20"/>
        </w:rPr>
        <w:t>it</w:t>
      </w:r>
      <w:r>
        <w:rPr>
          <w:color w:val="231F20"/>
          <w:spacing w:val="-17"/>
        </w:rPr>
        <w:t> </w:t>
      </w:r>
      <w:r>
        <w:rPr>
          <w:color w:val="231F20"/>
        </w:rPr>
        <w:t>should</w:t>
      </w:r>
      <w:r>
        <w:rPr>
          <w:color w:val="231F20"/>
          <w:spacing w:val="-17"/>
        </w:rPr>
        <w:t> </w:t>
      </w:r>
      <w:r>
        <w:rPr>
          <w:color w:val="231F20"/>
        </w:rPr>
        <w:t>be,</w:t>
      </w:r>
      <w:r>
        <w:rPr>
          <w:color w:val="231F20"/>
          <w:spacing w:val="-17"/>
        </w:rPr>
        <w:t> </w:t>
      </w:r>
      <w:r>
        <w:rPr>
          <w:color w:val="231F20"/>
        </w:rPr>
        <w:t>since</w:t>
      </w:r>
      <w:r>
        <w:rPr>
          <w:color w:val="231F20"/>
          <w:spacing w:val="-17"/>
        </w:rPr>
        <w:t> </w:t>
      </w:r>
      <w:r>
        <w:rPr>
          <w:color w:val="231F20"/>
        </w:rPr>
        <w:t>in being dependent, </w:t>
      </w:r>
      <w:r>
        <w:rPr>
          <w:color w:val="231F20"/>
          <w:spacing w:val="-3"/>
        </w:rPr>
        <w:t>we </w:t>
      </w:r>
      <w:r>
        <w:rPr>
          <w:color w:val="231F20"/>
        </w:rPr>
        <w:t>more perfectly conform</w:t>
      </w:r>
      <w:r>
        <w:rPr>
          <w:color w:val="231F20"/>
          <w:spacing w:val="-8"/>
        </w:rPr>
        <w:t> </w:t>
      </w:r>
      <w:r>
        <w:rPr>
          <w:color w:val="231F20"/>
        </w:rPr>
        <w:t>to</w:t>
      </w:r>
      <w:r>
        <w:rPr>
          <w:color w:val="231F20"/>
          <w:spacing w:val="-8"/>
        </w:rPr>
        <w:t> </w:t>
      </w:r>
      <w:r>
        <w:rPr>
          <w:color w:val="231F20"/>
        </w:rPr>
        <w:t>how</w:t>
      </w:r>
      <w:r>
        <w:rPr>
          <w:color w:val="231F20"/>
          <w:spacing w:val="-8"/>
        </w:rPr>
        <w:t> </w:t>
      </w:r>
      <w:r>
        <w:rPr>
          <w:color w:val="231F20"/>
        </w:rPr>
        <w:t>God</w:t>
      </w:r>
      <w:r>
        <w:rPr>
          <w:color w:val="231F20"/>
          <w:spacing w:val="-8"/>
        </w:rPr>
        <w:t> </w:t>
      </w:r>
      <w:r>
        <w:rPr>
          <w:color w:val="231F20"/>
        </w:rPr>
        <w:t>meant</w:t>
      </w:r>
      <w:r>
        <w:rPr>
          <w:color w:val="231F20"/>
          <w:spacing w:val="-8"/>
        </w:rPr>
        <w:t> </w:t>
      </w:r>
      <w:r>
        <w:rPr>
          <w:color w:val="231F20"/>
        </w:rPr>
        <w:t>us</w:t>
      </w:r>
      <w:r>
        <w:rPr>
          <w:color w:val="231F20"/>
          <w:spacing w:val="-8"/>
        </w:rPr>
        <w:t> </w:t>
      </w:r>
      <w:r>
        <w:rPr>
          <w:color w:val="231F20"/>
        </w:rPr>
        <w:t>to</w:t>
      </w:r>
      <w:r>
        <w:rPr>
          <w:color w:val="231F20"/>
          <w:spacing w:val="-8"/>
        </w:rPr>
        <w:t> </w:t>
      </w:r>
      <w:r>
        <w:rPr>
          <w:color w:val="231F20"/>
          <w:spacing w:val="-5"/>
        </w:rPr>
        <w:t>be.</w:t>
      </w:r>
    </w:p>
    <w:p>
      <w:pPr>
        <w:pStyle w:val="BodyText"/>
        <w:spacing w:before="9"/>
        <w:rPr>
          <w:rFonts w:ascii="Palatino Linotype"/>
          <w:sz w:val="35"/>
        </w:rPr>
      </w:pPr>
    </w:p>
    <w:p>
      <w:pPr>
        <w:spacing w:line="257" w:lineRule="exact" w:before="0"/>
        <w:ind w:left="0" w:right="6153" w:firstLine="0"/>
        <w:jc w:val="right"/>
        <w:rPr>
          <w:rFonts w:ascii="Palatino Linotype"/>
          <w:b/>
          <w:sz w:val="20"/>
        </w:rPr>
      </w:pPr>
      <w:r>
        <w:rPr>
          <w:rFonts w:ascii="Palatino Linotype"/>
          <w:b/>
          <w:color w:val="231F20"/>
          <w:sz w:val="20"/>
        </w:rPr>
        <w:t>The Creation of Eve, Michaelangelo, in the</w:t>
      </w:r>
      <w:r>
        <w:rPr>
          <w:rFonts w:ascii="Palatino Linotype"/>
          <w:b/>
          <w:color w:val="231F20"/>
          <w:spacing w:val="-6"/>
          <w:sz w:val="20"/>
        </w:rPr>
        <w:t> </w:t>
      </w:r>
      <w:r>
        <w:rPr>
          <w:rFonts w:ascii="Palatino Linotype"/>
          <w:b/>
          <w:color w:val="231F20"/>
          <w:sz w:val="20"/>
        </w:rPr>
        <w:t>Sistine</w:t>
      </w:r>
    </w:p>
    <w:p>
      <w:pPr>
        <w:spacing w:line="257" w:lineRule="exact" w:before="0"/>
        <w:ind w:left="0" w:right="6153" w:firstLine="0"/>
        <w:jc w:val="right"/>
        <w:rPr>
          <w:rFonts w:ascii="Palatino Linotype"/>
          <w:b/>
          <w:sz w:val="20"/>
        </w:rPr>
      </w:pPr>
      <w:r>
        <w:rPr>
          <w:rFonts w:ascii="Palatino Linotype"/>
          <w:b/>
          <w:color w:val="231F20"/>
          <w:sz w:val="20"/>
        </w:rPr>
        <w:t>Chapel</w:t>
      </w:r>
    </w:p>
    <w:p>
      <w:pPr>
        <w:spacing w:after="0" w:line="257" w:lineRule="exact"/>
        <w:jc w:val="right"/>
        <w:rPr>
          <w:rFonts w:ascii="Palatino Linotype"/>
          <w:sz w:val="20"/>
        </w:rPr>
        <w:sectPr>
          <w:headerReference w:type="default" r:id="rId127"/>
          <w:footerReference w:type="default" r:id="rId128"/>
          <w:pgSz w:w="11910" w:h="16840"/>
          <w:pgMar w:header="0" w:footer="739" w:top="600" w:bottom="920" w:left="160" w:right="220"/>
          <w:pgNumType w:start="5"/>
        </w:sectPr>
      </w:pPr>
    </w:p>
    <w:p>
      <w:pPr>
        <w:pStyle w:val="Heading5"/>
        <w:spacing w:line="216" w:lineRule="auto" w:before="116"/>
        <w:ind w:left="820" w:right="718"/>
      </w:pPr>
      <w:r>
        <w:rPr>
          <w:color w:val="231F20"/>
        </w:rPr>
        <w:t>However, as </w:t>
      </w:r>
      <w:r>
        <w:rPr>
          <w:color w:val="231F20"/>
          <w:spacing w:val="-3"/>
        </w:rPr>
        <w:t>we </w:t>
      </w:r>
      <w:r>
        <w:rPr>
          <w:color w:val="231F20"/>
        </w:rPr>
        <w:t>know, the story of Adam and Eve takes a tragic turn when</w:t>
      </w:r>
      <w:r>
        <w:rPr>
          <w:color w:val="231F20"/>
          <w:spacing w:val="-21"/>
        </w:rPr>
        <w:t> </w:t>
      </w:r>
      <w:r>
        <w:rPr>
          <w:color w:val="231F20"/>
        </w:rPr>
        <w:t>these models</w:t>
      </w:r>
      <w:r>
        <w:rPr>
          <w:color w:val="231F20"/>
          <w:spacing w:val="-6"/>
        </w:rPr>
        <w:t> </w:t>
      </w:r>
      <w:r>
        <w:rPr>
          <w:color w:val="231F20"/>
        </w:rPr>
        <w:t>of</w:t>
      </w:r>
      <w:r>
        <w:rPr>
          <w:color w:val="231F20"/>
          <w:spacing w:val="-5"/>
        </w:rPr>
        <w:t> </w:t>
      </w:r>
      <w:r>
        <w:rPr>
          <w:color w:val="231F20"/>
        </w:rPr>
        <w:t>dependency</w:t>
      </w:r>
      <w:r>
        <w:rPr>
          <w:color w:val="231F20"/>
          <w:spacing w:val="-6"/>
        </w:rPr>
        <w:t> </w:t>
      </w:r>
      <w:r>
        <w:rPr>
          <w:color w:val="231F20"/>
        </w:rPr>
        <w:t>try</w:t>
      </w:r>
      <w:r>
        <w:rPr>
          <w:color w:val="231F20"/>
          <w:spacing w:val="-5"/>
        </w:rPr>
        <w:t> </w:t>
      </w:r>
      <w:r>
        <w:rPr>
          <w:color w:val="231F20"/>
        </w:rPr>
        <w:t>to</w:t>
      </w:r>
      <w:r>
        <w:rPr>
          <w:color w:val="231F20"/>
          <w:spacing w:val="-5"/>
        </w:rPr>
        <w:t> </w:t>
      </w:r>
      <w:r>
        <w:rPr>
          <w:color w:val="231F20"/>
        </w:rPr>
        <w:t>become</w:t>
      </w:r>
      <w:r>
        <w:rPr>
          <w:color w:val="231F20"/>
          <w:spacing w:val="-6"/>
        </w:rPr>
        <w:t> </w:t>
      </w:r>
      <w:r>
        <w:rPr>
          <w:color w:val="231F20"/>
        </w:rPr>
        <w:t>complete</w:t>
      </w:r>
      <w:r>
        <w:rPr>
          <w:color w:val="231F20"/>
          <w:spacing w:val="-5"/>
        </w:rPr>
        <w:t> </w:t>
      </w:r>
      <w:r>
        <w:rPr>
          <w:color w:val="231F20"/>
        </w:rPr>
        <w:t>in</w:t>
      </w:r>
      <w:r>
        <w:rPr>
          <w:color w:val="231F20"/>
          <w:spacing w:val="-6"/>
        </w:rPr>
        <w:t> </w:t>
      </w:r>
      <w:r>
        <w:rPr>
          <w:color w:val="231F20"/>
        </w:rPr>
        <w:t>themselves</w:t>
      </w:r>
      <w:r>
        <w:rPr>
          <w:color w:val="231F20"/>
          <w:spacing w:val="-5"/>
        </w:rPr>
        <w:t> </w:t>
      </w:r>
      <w:r>
        <w:rPr>
          <w:color w:val="231F20"/>
        </w:rPr>
        <w:t>and</w:t>
      </w:r>
      <w:r>
        <w:rPr>
          <w:color w:val="231F20"/>
          <w:spacing w:val="-5"/>
        </w:rPr>
        <w:t> </w:t>
      </w:r>
      <w:r>
        <w:rPr>
          <w:color w:val="231F20"/>
        </w:rPr>
        <w:t>independent</w:t>
      </w:r>
      <w:r>
        <w:rPr>
          <w:color w:val="231F20"/>
          <w:spacing w:val="-6"/>
        </w:rPr>
        <w:t> </w:t>
      </w:r>
      <w:r>
        <w:rPr>
          <w:color w:val="231F20"/>
          <w:spacing w:val="-8"/>
        </w:rPr>
        <w:t>of </w:t>
      </w:r>
      <w:r>
        <w:rPr>
          <w:color w:val="231F20"/>
        </w:rPr>
        <w:t>God. The tragic result is that they become alienated not only from God but </w:t>
      </w:r>
      <w:r>
        <w:rPr>
          <w:color w:val="231F20"/>
          <w:spacing w:val="-4"/>
        </w:rPr>
        <w:t>from </w:t>
      </w:r>
      <w:r>
        <w:rPr>
          <w:color w:val="231F20"/>
        </w:rPr>
        <w:t>each</w:t>
      </w:r>
      <w:r>
        <w:rPr>
          <w:color w:val="231F20"/>
          <w:spacing w:val="-5"/>
        </w:rPr>
        <w:t> </w:t>
      </w:r>
      <w:r>
        <w:rPr>
          <w:color w:val="231F20"/>
        </w:rPr>
        <w:t>other,</w:t>
      </w:r>
      <w:r>
        <w:rPr>
          <w:color w:val="231F20"/>
          <w:spacing w:val="-4"/>
        </w:rPr>
        <w:t> </w:t>
      </w:r>
      <w:r>
        <w:rPr>
          <w:color w:val="231F20"/>
        </w:rPr>
        <w:t>and</w:t>
      </w:r>
      <w:r>
        <w:rPr>
          <w:color w:val="231F20"/>
          <w:spacing w:val="-5"/>
        </w:rPr>
        <w:t> </w:t>
      </w:r>
      <w:r>
        <w:rPr>
          <w:color w:val="231F20"/>
        </w:rPr>
        <w:t>certainly</w:t>
      </w:r>
      <w:r>
        <w:rPr>
          <w:color w:val="231F20"/>
          <w:spacing w:val="-4"/>
        </w:rPr>
        <w:t> </w:t>
      </w:r>
      <w:r>
        <w:rPr>
          <w:color w:val="231F20"/>
        </w:rPr>
        <w:t>no</w:t>
      </w:r>
      <w:r>
        <w:rPr>
          <w:color w:val="231F20"/>
          <w:spacing w:val="-4"/>
        </w:rPr>
        <w:t> </w:t>
      </w:r>
      <w:r>
        <w:rPr>
          <w:color w:val="231F20"/>
        </w:rPr>
        <w:t>less</w:t>
      </w:r>
      <w:r>
        <w:rPr>
          <w:color w:val="231F20"/>
          <w:spacing w:val="-5"/>
        </w:rPr>
        <w:t> </w:t>
      </w:r>
      <w:r>
        <w:rPr>
          <w:color w:val="231F20"/>
        </w:rPr>
        <w:t>dependent</w:t>
      </w:r>
      <w:r>
        <w:rPr>
          <w:color w:val="231F20"/>
          <w:spacing w:val="-4"/>
        </w:rPr>
        <w:t> </w:t>
      </w:r>
      <w:r>
        <w:rPr>
          <w:color w:val="231F20"/>
        </w:rPr>
        <w:t>than</w:t>
      </w:r>
      <w:r>
        <w:rPr>
          <w:color w:val="231F20"/>
          <w:spacing w:val="-5"/>
        </w:rPr>
        <w:t> </w:t>
      </w:r>
      <w:r>
        <w:rPr>
          <w:color w:val="231F20"/>
        </w:rPr>
        <w:t>they</w:t>
      </w:r>
      <w:r>
        <w:rPr>
          <w:color w:val="231F20"/>
          <w:spacing w:val="-4"/>
        </w:rPr>
        <w:t> </w:t>
      </w:r>
      <w:r>
        <w:rPr>
          <w:color w:val="231F20"/>
        </w:rPr>
        <w:t>were</w:t>
      </w:r>
      <w:r>
        <w:rPr>
          <w:color w:val="231F20"/>
          <w:spacing w:val="-4"/>
        </w:rPr>
        <w:t> </w:t>
      </w:r>
      <w:r>
        <w:rPr>
          <w:color w:val="231F20"/>
        </w:rPr>
        <w:t>previously.</w:t>
      </w:r>
      <w:r>
        <w:rPr>
          <w:color w:val="231F20"/>
          <w:spacing w:val="-15"/>
        </w:rPr>
        <w:t> </w:t>
      </w:r>
      <w:r>
        <w:rPr>
          <w:color w:val="231F20"/>
        </w:rPr>
        <w:t>All</w:t>
      </w:r>
      <w:r>
        <w:rPr>
          <w:color w:val="231F20"/>
          <w:spacing w:val="-4"/>
        </w:rPr>
        <w:t> </w:t>
      </w:r>
      <w:r>
        <w:rPr>
          <w:color w:val="231F20"/>
        </w:rPr>
        <w:t>of</w:t>
      </w:r>
      <w:r>
        <w:rPr>
          <w:color w:val="231F20"/>
          <w:spacing w:val="-4"/>
        </w:rPr>
        <w:t> </w:t>
      </w:r>
      <w:r>
        <w:rPr>
          <w:color w:val="231F20"/>
        </w:rPr>
        <w:t>this serves to remind us that we aren't meant to be alone; we ‘make sense’ only in relationship with each other, and of all loving human relationships, the foremost is</w:t>
      </w:r>
      <w:r>
        <w:rPr>
          <w:color w:val="231F20"/>
          <w:spacing w:val="-10"/>
        </w:rPr>
        <w:t> </w:t>
      </w:r>
      <w:r>
        <w:rPr>
          <w:color w:val="231F20"/>
        </w:rPr>
        <w:t>marital</w:t>
      </w:r>
      <w:r>
        <w:rPr>
          <w:color w:val="231F20"/>
          <w:spacing w:val="-10"/>
        </w:rPr>
        <w:t> </w:t>
      </w:r>
      <w:r>
        <w:rPr>
          <w:color w:val="231F20"/>
        </w:rPr>
        <w:t>love.</w:t>
      </w:r>
      <w:r>
        <w:rPr>
          <w:color w:val="231F20"/>
          <w:spacing w:val="-10"/>
        </w:rPr>
        <w:t> </w:t>
      </w:r>
      <w:r>
        <w:rPr>
          <w:color w:val="231F20"/>
        </w:rPr>
        <w:t>So</w:t>
      </w:r>
      <w:r>
        <w:rPr>
          <w:color w:val="231F20"/>
          <w:spacing w:val="-10"/>
        </w:rPr>
        <w:t> </w:t>
      </w:r>
      <w:r>
        <w:rPr>
          <w:color w:val="231F20"/>
        </w:rPr>
        <w:t>it</w:t>
      </w:r>
      <w:r>
        <w:rPr>
          <w:color w:val="231F20"/>
          <w:spacing w:val="-9"/>
        </w:rPr>
        <w:t> </w:t>
      </w:r>
      <w:r>
        <w:rPr>
          <w:color w:val="231F20"/>
        </w:rPr>
        <w:t>seems</w:t>
      </w:r>
      <w:r>
        <w:rPr>
          <w:color w:val="231F20"/>
          <w:spacing w:val="-10"/>
        </w:rPr>
        <w:t> </w:t>
      </w:r>
      <w:r>
        <w:rPr>
          <w:color w:val="231F20"/>
        </w:rPr>
        <w:t>a</w:t>
      </w:r>
      <w:r>
        <w:rPr>
          <w:color w:val="231F20"/>
          <w:spacing w:val="-10"/>
        </w:rPr>
        <w:t> </w:t>
      </w:r>
      <w:r>
        <w:rPr>
          <w:color w:val="231F20"/>
        </w:rPr>
        <w:t>ﬁtting</w:t>
      </w:r>
      <w:r>
        <w:rPr>
          <w:color w:val="231F20"/>
          <w:spacing w:val="-10"/>
        </w:rPr>
        <w:t> </w:t>
      </w:r>
      <w:r>
        <w:rPr>
          <w:color w:val="231F20"/>
          <w:spacing w:val="-3"/>
        </w:rPr>
        <w:t>way</w:t>
      </w:r>
      <w:r>
        <w:rPr>
          <w:color w:val="231F20"/>
          <w:spacing w:val="-9"/>
        </w:rPr>
        <w:t> </w:t>
      </w:r>
      <w:r>
        <w:rPr>
          <w:color w:val="231F20"/>
        </w:rPr>
        <w:t>to</w:t>
      </w:r>
      <w:r>
        <w:rPr>
          <w:color w:val="231F20"/>
          <w:spacing w:val="-10"/>
        </w:rPr>
        <w:t> </w:t>
      </w:r>
      <w:r>
        <w:rPr>
          <w:color w:val="231F20"/>
        </w:rPr>
        <w:t>begin</w:t>
      </w:r>
      <w:r>
        <w:rPr>
          <w:color w:val="231F20"/>
          <w:spacing w:val="-10"/>
        </w:rPr>
        <w:t> </w:t>
      </w:r>
      <w:r>
        <w:rPr>
          <w:color w:val="231F20"/>
        </w:rPr>
        <w:t>here</w:t>
      </w:r>
      <w:r>
        <w:rPr>
          <w:color w:val="231F20"/>
          <w:spacing w:val="-10"/>
        </w:rPr>
        <w:t> </w:t>
      </w:r>
      <w:r>
        <w:rPr>
          <w:color w:val="231F20"/>
        </w:rPr>
        <w:t>with</w:t>
      </w:r>
      <w:r>
        <w:rPr>
          <w:color w:val="231F20"/>
          <w:spacing w:val="-10"/>
        </w:rPr>
        <w:t> </w:t>
      </w:r>
      <w:r>
        <w:rPr>
          <w:color w:val="231F20"/>
        </w:rPr>
        <w:t>some</w:t>
      </w:r>
      <w:r>
        <w:rPr>
          <w:color w:val="231F20"/>
          <w:spacing w:val="-9"/>
        </w:rPr>
        <w:t> </w:t>
      </w:r>
      <w:r>
        <w:rPr>
          <w:color w:val="231F20"/>
        </w:rPr>
        <w:t>reﬂections</w:t>
      </w:r>
      <w:r>
        <w:rPr>
          <w:color w:val="231F20"/>
          <w:spacing w:val="-10"/>
        </w:rPr>
        <w:t> </w:t>
      </w:r>
      <w:r>
        <w:rPr>
          <w:color w:val="231F20"/>
        </w:rPr>
        <w:t>on</w:t>
      </w:r>
      <w:r>
        <w:rPr>
          <w:color w:val="231F20"/>
          <w:spacing w:val="-10"/>
        </w:rPr>
        <w:t> </w:t>
      </w:r>
      <w:r>
        <w:rPr>
          <w:color w:val="231F20"/>
        </w:rPr>
        <w:t>the institution of marriage.</w:t>
      </w:r>
    </w:p>
    <w:p>
      <w:pPr>
        <w:pStyle w:val="BodyText"/>
        <w:spacing w:before="2"/>
        <w:rPr>
          <w:rFonts w:ascii="Palatino Linotype"/>
          <w:sz w:val="26"/>
        </w:rPr>
      </w:pPr>
    </w:p>
    <w:p>
      <w:pPr>
        <w:pStyle w:val="Heading5"/>
        <w:spacing w:line="216" w:lineRule="auto"/>
        <w:ind w:left="820" w:right="718"/>
      </w:pPr>
      <w:r>
        <w:rPr>
          <w:color w:val="231F20"/>
        </w:rPr>
        <w:t>The Christian Tradition calls marriage between a man and a woman ‘Holy </w:t>
      </w:r>
      <w:r>
        <w:rPr>
          <w:color w:val="231F20"/>
          <w:spacing w:val="-3"/>
        </w:rPr>
        <w:t>Matrimony’</w:t>
      </w:r>
      <w:r>
        <w:rPr>
          <w:color w:val="231F20"/>
          <w:spacing w:val="-14"/>
        </w:rPr>
        <w:t> </w:t>
      </w:r>
      <w:r>
        <w:rPr>
          <w:color w:val="231F20"/>
          <w:spacing w:val="-3"/>
        </w:rPr>
        <w:t>and,</w:t>
      </w:r>
      <w:r>
        <w:rPr>
          <w:color w:val="231F20"/>
          <w:spacing w:val="-14"/>
        </w:rPr>
        <w:t> </w:t>
      </w:r>
      <w:r>
        <w:rPr>
          <w:color w:val="231F20"/>
          <w:spacing w:val="-4"/>
        </w:rPr>
        <w:t>between</w:t>
      </w:r>
      <w:r>
        <w:rPr>
          <w:color w:val="231F20"/>
          <w:spacing w:val="-13"/>
        </w:rPr>
        <w:t> </w:t>
      </w:r>
      <w:r>
        <w:rPr>
          <w:color w:val="231F20"/>
        </w:rPr>
        <w:t>the</w:t>
      </w:r>
      <w:r>
        <w:rPr>
          <w:color w:val="231F20"/>
          <w:spacing w:val="-14"/>
        </w:rPr>
        <w:t> </w:t>
      </w:r>
      <w:r>
        <w:rPr>
          <w:color w:val="231F20"/>
          <w:spacing w:val="-3"/>
        </w:rPr>
        <w:t>baptised,</w:t>
      </w:r>
      <w:r>
        <w:rPr>
          <w:color w:val="231F20"/>
          <w:spacing w:val="-14"/>
        </w:rPr>
        <w:t> </w:t>
      </w:r>
      <w:r>
        <w:rPr>
          <w:color w:val="231F20"/>
        </w:rPr>
        <w:t>a</w:t>
      </w:r>
      <w:r>
        <w:rPr>
          <w:color w:val="231F20"/>
          <w:spacing w:val="-13"/>
        </w:rPr>
        <w:t> </w:t>
      </w:r>
      <w:r>
        <w:rPr>
          <w:color w:val="231F20"/>
          <w:spacing w:val="-3"/>
        </w:rPr>
        <w:t>‘Sacrament’.</w:t>
      </w:r>
      <w:r>
        <w:rPr>
          <w:color w:val="231F20"/>
          <w:spacing w:val="-14"/>
        </w:rPr>
        <w:t> </w:t>
      </w:r>
      <w:r>
        <w:rPr>
          <w:color w:val="231F20"/>
          <w:spacing w:val="-3"/>
        </w:rPr>
        <w:t>This</w:t>
      </w:r>
      <w:r>
        <w:rPr>
          <w:color w:val="231F20"/>
          <w:spacing w:val="-13"/>
        </w:rPr>
        <w:t> </w:t>
      </w:r>
      <w:r>
        <w:rPr>
          <w:color w:val="231F20"/>
        </w:rPr>
        <w:t>is</w:t>
      </w:r>
      <w:r>
        <w:rPr>
          <w:color w:val="231F20"/>
          <w:spacing w:val="-14"/>
        </w:rPr>
        <w:t> </w:t>
      </w:r>
      <w:r>
        <w:rPr>
          <w:color w:val="231F20"/>
          <w:spacing w:val="-3"/>
        </w:rPr>
        <w:t>because</w:t>
      </w:r>
      <w:r>
        <w:rPr>
          <w:color w:val="231F20"/>
          <w:spacing w:val="-14"/>
        </w:rPr>
        <w:t> </w:t>
      </w:r>
      <w:r>
        <w:rPr>
          <w:color w:val="231F20"/>
        </w:rPr>
        <w:t>the</w:t>
      </w:r>
      <w:r>
        <w:rPr>
          <w:color w:val="231F20"/>
          <w:spacing w:val="-13"/>
        </w:rPr>
        <w:t> </w:t>
      </w:r>
      <w:r>
        <w:rPr>
          <w:color w:val="231F20"/>
        </w:rPr>
        <w:t>two</w:t>
      </w:r>
      <w:r>
        <w:rPr>
          <w:color w:val="231F20"/>
          <w:spacing w:val="-14"/>
        </w:rPr>
        <w:t> </w:t>
      </w:r>
      <w:r>
        <w:rPr>
          <w:color w:val="231F20"/>
          <w:spacing w:val="-3"/>
        </w:rPr>
        <w:t>parts </w:t>
      </w:r>
      <w:r>
        <w:rPr>
          <w:color w:val="231F20"/>
        </w:rPr>
        <w:t>of God’s self-portrait come together deﬁnitively. The two become one, and the picture is complete, or as complete as it can ever be while we live away from Almighty God in this imperfect world.</w:t>
      </w:r>
    </w:p>
    <w:p>
      <w:pPr>
        <w:pStyle w:val="BodyText"/>
        <w:spacing w:before="12"/>
        <w:rPr>
          <w:rFonts w:ascii="Palatino Linotype"/>
          <w:sz w:val="25"/>
        </w:rPr>
      </w:pPr>
    </w:p>
    <w:p>
      <w:pPr>
        <w:pStyle w:val="Heading5"/>
        <w:spacing w:line="216" w:lineRule="auto"/>
        <w:ind w:left="820" w:right="718"/>
      </w:pPr>
      <w:r>
        <w:rPr>
          <w:color w:val="231F20"/>
        </w:rPr>
        <w:t>All relationships point towards the relationship we have with our Creator, and prepare us for its fulﬁlment in the world to come. And so from the outset of</w:t>
      </w:r>
      <w:r>
        <w:rPr>
          <w:color w:val="231F20"/>
          <w:spacing w:val="-24"/>
        </w:rPr>
        <w:t> </w:t>
      </w:r>
      <w:r>
        <w:rPr>
          <w:color w:val="231F20"/>
          <w:spacing w:val="-3"/>
        </w:rPr>
        <w:t>their </w:t>
      </w:r>
      <w:r>
        <w:rPr>
          <w:color w:val="231F20"/>
        </w:rPr>
        <w:t>coming</w:t>
      </w:r>
      <w:r>
        <w:rPr>
          <w:color w:val="231F20"/>
          <w:spacing w:val="-7"/>
        </w:rPr>
        <w:t> </w:t>
      </w:r>
      <w:r>
        <w:rPr>
          <w:color w:val="231F20"/>
        </w:rPr>
        <w:t>together</w:t>
      </w:r>
      <w:r>
        <w:rPr>
          <w:color w:val="231F20"/>
          <w:spacing w:val="-7"/>
        </w:rPr>
        <w:t> </w:t>
      </w:r>
      <w:r>
        <w:rPr>
          <w:color w:val="231F20"/>
        </w:rPr>
        <w:t>in</w:t>
      </w:r>
      <w:r>
        <w:rPr>
          <w:color w:val="231F20"/>
          <w:spacing w:val="-7"/>
        </w:rPr>
        <w:t> </w:t>
      </w:r>
      <w:r>
        <w:rPr>
          <w:color w:val="231F20"/>
        </w:rPr>
        <w:t>marriage,</w:t>
      </w:r>
      <w:r>
        <w:rPr>
          <w:color w:val="231F20"/>
          <w:spacing w:val="-7"/>
        </w:rPr>
        <w:t> </w:t>
      </w:r>
      <w:r>
        <w:rPr>
          <w:color w:val="231F20"/>
        </w:rPr>
        <w:t>the</w:t>
      </w:r>
      <w:r>
        <w:rPr>
          <w:color w:val="231F20"/>
          <w:spacing w:val="-6"/>
        </w:rPr>
        <w:t> </w:t>
      </w:r>
      <w:r>
        <w:rPr>
          <w:color w:val="231F20"/>
        </w:rPr>
        <w:t>newly</w:t>
      </w:r>
      <w:r>
        <w:rPr>
          <w:color w:val="231F20"/>
          <w:spacing w:val="-7"/>
        </w:rPr>
        <w:t> </w:t>
      </w:r>
      <w:r>
        <w:rPr>
          <w:color w:val="231F20"/>
        </w:rPr>
        <w:t>married</w:t>
      </w:r>
      <w:r>
        <w:rPr>
          <w:color w:val="231F20"/>
          <w:spacing w:val="-7"/>
        </w:rPr>
        <w:t> </w:t>
      </w:r>
      <w:r>
        <w:rPr>
          <w:color w:val="231F20"/>
        </w:rPr>
        <w:t>couple</w:t>
      </w:r>
      <w:r>
        <w:rPr>
          <w:color w:val="231F20"/>
          <w:spacing w:val="-7"/>
        </w:rPr>
        <w:t> </w:t>
      </w:r>
      <w:r>
        <w:rPr>
          <w:color w:val="231F20"/>
        </w:rPr>
        <w:t>have</w:t>
      </w:r>
      <w:r>
        <w:rPr>
          <w:color w:val="231F20"/>
          <w:spacing w:val="-6"/>
        </w:rPr>
        <w:t> </w:t>
      </w:r>
      <w:r>
        <w:rPr>
          <w:color w:val="231F20"/>
        </w:rPr>
        <w:t>to</w:t>
      </w:r>
      <w:r>
        <w:rPr>
          <w:color w:val="231F20"/>
          <w:spacing w:val="-7"/>
        </w:rPr>
        <w:t> </w:t>
      </w:r>
      <w:r>
        <w:rPr>
          <w:color w:val="231F20"/>
        </w:rPr>
        <w:t>learn</w:t>
      </w:r>
      <w:r>
        <w:rPr>
          <w:color w:val="231F20"/>
          <w:spacing w:val="-7"/>
        </w:rPr>
        <w:t> </w:t>
      </w:r>
      <w:r>
        <w:rPr>
          <w:color w:val="231F20"/>
        </w:rPr>
        <w:t>how</w:t>
      </w:r>
      <w:r>
        <w:rPr>
          <w:color w:val="231F20"/>
          <w:spacing w:val="-7"/>
        </w:rPr>
        <w:t> </w:t>
      </w:r>
      <w:r>
        <w:rPr>
          <w:color w:val="231F20"/>
        </w:rPr>
        <w:t>to</w:t>
      </w:r>
      <w:r>
        <w:rPr>
          <w:color w:val="231F20"/>
          <w:spacing w:val="-6"/>
        </w:rPr>
        <w:t> </w:t>
      </w:r>
      <w:r>
        <w:rPr>
          <w:color w:val="231F20"/>
        </w:rPr>
        <w:t>lean on each other:</w:t>
      </w:r>
    </w:p>
    <w:p>
      <w:pPr>
        <w:pStyle w:val="Heading6"/>
        <w:spacing w:line="216" w:lineRule="auto" w:before="79"/>
        <w:ind w:left="1516" w:right="652" w:firstLine="82"/>
        <w:jc w:val="both"/>
      </w:pPr>
      <w:r>
        <w:rPr>
          <w:i/>
          <w:color w:val="231F20"/>
        </w:rPr>
        <w:t>Married life is a process of growth, in which each spouse is God’s means of </w:t>
      </w:r>
      <w:r>
        <w:rPr>
          <w:i/>
          <w:color w:val="231F20"/>
          <w:spacing w:val="-3"/>
        </w:rPr>
        <w:t>helping </w:t>
      </w:r>
      <w:r>
        <w:rPr>
          <w:color w:val="231F20"/>
        </w:rPr>
        <w:t>the other to mature…Fostering growth means helping a person to shape his or her own identity. Love is thus a kind of craftsmanship…At every new stage, they can keep “forming” one another. Love makes each wait for the other with the patience</w:t>
      </w:r>
      <w:r>
        <w:rPr>
          <w:color w:val="231F20"/>
          <w:spacing w:val="-13"/>
        </w:rPr>
        <w:t> </w:t>
      </w:r>
      <w:r>
        <w:rPr>
          <w:color w:val="231F20"/>
          <w:spacing w:val="-8"/>
        </w:rPr>
        <w:t>of</w:t>
      </w:r>
    </w:p>
    <w:p>
      <w:pPr>
        <w:pStyle w:val="Heading6"/>
        <w:spacing w:line="336" w:lineRule="exact"/>
        <w:ind w:left="5601" w:right="0"/>
        <w:jc w:val="both"/>
        <w:rPr>
          <w:i/>
        </w:rPr>
      </w:pPr>
      <w:r>
        <w:rPr>
          <w:i/>
          <w:color w:val="231F20"/>
        </w:rPr>
        <w:t>a craftsman, a patience which comes from God.</w:t>
      </w:r>
    </w:p>
    <w:p>
      <w:pPr>
        <w:pStyle w:val="Heading5"/>
        <w:spacing w:line="360" w:lineRule="exact"/>
        <w:ind w:left="9991"/>
        <w:jc w:val="left"/>
      </w:pPr>
      <w:r>
        <w:rPr>
          <w:color w:val="231F20"/>
        </w:rPr>
        <w:t>AL 221</w:t>
      </w:r>
    </w:p>
    <w:p>
      <w:pPr>
        <w:pStyle w:val="Heading5"/>
        <w:spacing w:line="216" w:lineRule="auto" w:before="102"/>
        <w:ind w:left="933" w:right="655"/>
      </w:pPr>
      <w:r>
        <w:rPr>
          <w:color w:val="231F20"/>
        </w:rPr>
        <w:t>So, far, in all of the above, marriage has been pictured as a relationship in which the couple are inward looking. But for the relationship to grow, the two need to join together in loving away from themselves. In this way, their marriage bears fruit. The marital love of husband and wife bears fruit especially (but not exclusively) in the new life which children bring to them:</w:t>
      </w:r>
    </w:p>
    <w:p>
      <w:pPr>
        <w:pStyle w:val="Heading6"/>
        <w:spacing w:line="216" w:lineRule="auto" w:before="167"/>
        <w:ind w:left="1370" w:right="675" w:firstLine="254"/>
      </w:pPr>
      <w:r>
        <w:rPr>
          <w:i/>
          <w:color w:val="231F20"/>
        </w:rPr>
        <w:t>The Word of God tells us that the family is entrusted to a man, a woman</w:t>
      </w:r>
      <w:r>
        <w:rPr>
          <w:i/>
          <w:color w:val="231F20"/>
          <w:spacing w:val="-13"/>
        </w:rPr>
        <w:t> </w:t>
      </w:r>
      <w:r>
        <w:rPr>
          <w:i/>
          <w:color w:val="231F20"/>
        </w:rPr>
        <w:t>and their</w:t>
      </w:r>
      <w:r>
        <w:rPr>
          <w:color w:val="231F20"/>
        </w:rPr>
        <w:t> children, so that they may become a communion of persons in the image of</w:t>
      </w:r>
      <w:r>
        <w:rPr>
          <w:color w:val="231F20"/>
          <w:spacing w:val="-14"/>
        </w:rPr>
        <w:t> </w:t>
      </w:r>
      <w:r>
        <w:rPr>
          <w:color w:val="231F20"/>
        </w:rPr>
        <w:t>the union of the Father, the Son and the Holy Spirit. Begetting and raising children, for</w:t>
      </w:r>
      <w:r>
        <w:rPr>
          <w:color w:val="231F20"/>
          <w:spacing w:val="-26"/>
        </w:rPr>
        <w:t> </w:t>
      </w:r>
      <w:r>
        <w:rPr>
          <w:color w:val="231F20"/>
        </w:rPr>
        <w:t>its</w:t>
      </w:r>
    </w:p>
    <w:p>
      <w:pPr>
        <w:pStyle w:val="Heading6"/>
        <w:spacing w:line="334" w:lineRule="exact"/>
        <w:ind w:right="675"/>
        <w:rPr>
          <w:i/>
        </w:rPr>
      </w:pPr>
      <w:r>
        <w:rPr>
          <w:i/>
          <w:color w:val="231F20"/>
        </w:rPr>
        <w:t>part, mirrors God’s creative</w:t>
      </w:r>
      <w:r>
        <w:rPr>
          <w:i/>
          <w:color w:val="231F20"/>
          <w:spacing w:val="-5"/>
        </w:rPr>
        <w:t> </w:t>
      </w:r>
      <w:r>
        <w:rPr>
          <w:i/>
          <w:color w:val="231F20"/>
        </w:rPr>
        <w:t>work.</w:t>
      </w:r>
    </w:p>
    <w:p>
      <w:pPr>
        <w:pStyle w:val="Heading5"/>
        <w:spacing w:line="360" w:lineRule="exact"/>
        <w:ind w:left="10109"/>
        <w:jc w:val="left"/>
      </w:pPr>
      <w:r>
        <w:rPr>
          <w:color w:val="231F20"/>
        </w:rPr>
        <w:t>AL 29</w:t>
      </w:r>
    </w:p>
    <w:p>
      <w:pPr>
        <w:pStyle w:val="Heading5"/>
        <w:spacing w:line="216" w:lineRule="auto" w:before="130"/>
        <w:ind w:left="856" w:right="641"/>
      </w:pPr>
      <w:r>
        <w:rPr>
          <w:color w:val="231F20"/>
        </w:rPr>
        <w:t>Let</w:t>
      </w:r>
      <w:r>
        <w:rPr>
          <w:color w:val="231F20"/>
          <w:spacing w:val="-9"/>
        </w:rPr>
        <w:t> </w:t>
      </w:r>
      <w:r>
        <w:rPr>
          <w:color w:val="231F20"/>
        </w:rPr>
        <w:t>us</w:t>
      </w:r>
      <w:r>
        <w:rPr>
          <w:color w:val="231F20"/>
          <w:spacing w:val="-8"/>
        </w:rPr>
        <w:t> </w:t>
      </w:r>
      <w:r>
        <w:rPr>
          <w:color w:val="231F20"/>
        </w:rPr>
        <w:t>reﬂect</w:t>
      </w:r>
      <w:r>
        <w:rPr>
          <w:color w:val="231F20"/>
          <w:spacing w:val="-8"/>
        </w:rPr>
        <w:t> </w:t>
      </w:r>
      <w:r>
        <w:rPr>
          <w:color w:val="231F20"/>
        </w:rPr>
        <w:t>now</w:t>
      </w:r>
      <w:r>
        <w:rPr>
          <w:color w:val="231F20"/>
          <w:spacing w:val="-9"/>
        </w:rPr>
        <w:t> </w:t>
      </w:r>
      <w:r>
        <w:rPr>
          <w:color w:val="231F20"/>
        </w:rPr>
        <w:t>on</w:t>
      </w:r>
      <w:r>
        <w:rPr>
          <w:color w:val="231F20"/>
          <w:spacing w:val="-8"/>
        </w:rPr>
        <w:t> </w:t>
      </w:r>
      <w:r>
        <w:rPr>
          <w:color w:val="231F20"/>
        </w:rPr>
        <w:t>the</w:t>
      </w:r>
      <w:r>
        <w:rPr>
          <w:color w:val="231F20"/>
          <w:spacing w:val="-8"/>
        </w:rPr>
        <w:t> </w:t>
      </w:r>
      <w:r>
        <w:rPr>
          <w:color w:val="231F20"/>
        </w:rPr>
        <w:t>role</w:t>
      </w:r>
      <w:r>
        <w:rPr>
          <w:color w:val="231F20"/>
          <w:spacing w:val="-8"/>
        </w:rPr>
        <w:t> </w:t>
      </w:r>
      <w:r>
        <w:rPr>
          <w:color w:val="231F20"/>
        </w:rPr>
        <w:t>of</w:t>
      </w:r>
      <w:r>
        <w:rPr>
          <w:color w:val="231F20"/>
          <w:spacing w:val="-9"/>
        </w:rPr>
        <w:t> </w:t>
      </w:r>
      <w:r>
        <w:rPr>
          <w:color w:val="231F20"/>
        </w:rPr>
        <w:t>children</w:t>
      </w:r>
      <w:r>
        <w:rPr>
          <w:color w:val="231F20"/>
          <w:spacing w:val="-8"/>
        </w:rPr>
        <w:t> </w:t>
      </w:r>
      <w:r>
        <w:rPr>
          <w:color w:val="231F20"/>
        </w:rPr>
        <w:t>within</w:t>
      </w:r>
      <w:r>
        <w:rPr>
          <w:color w:val="231F20"/>
          <w:spacing w:val="-8"/>
        </w:rPr>
        <w:t> </w:t>
      </w:r>
      <w:r>
        <w:rPr>
          <w:color w:val="231F20"/>
        </w:rPr>
        <w:t>the</w:t>
      </w:r>
      <w:r>
        <w:rPr>
          <w:color w:val="231F20"/>
          <w:spacing w:val="-9"/>
        </w:rPr>
        <w:t> </w:t>
      </w:r>
      <w:r>
        <w:rPr>
          <w:color w:val="231F20"/>
        </w:rPr>
        <w:t>family.</w:t>
      </w:r>
      <w:r>
        <w:rPr>
          <w:color w:val="231F20"/>
          <w:spacing w:val="-8"/>
        </w:rPr>
        <w:t> </w:t>
      </w:r>
      <w:r>
        <w:rPr>
          <w:color w:val="231F20"/>
        </w:rPr>
        <w:t>Children</w:t>
      </w:r>
      <w:r>
        <w:rPr>
          <w:color w:val="231F20"/>
          <w:spacing w:val="-8"/>
        </w:rPr>
        <w:t> </w:t>
      </w:r>
      <w:r>
        <w:rPr>
          <w:color w:val="231F20"/>
        </w:rPr>
        <w:t>complete</w:t>
      </w:r>
      <w:r>
        <w:rPr>
          <w:color w:val="231F20"/>
          <w:spacing w:val="-8"/>
        </w:rPr>
        <w:t> </w:t>
      </w:r>
      <w:r>
        <w:rPr>
          <w:color w:val="231F20"/>
        </w:rPr>
        <w:t>the family; they share equally in the dignity accorded to their parents and are also made</w:t>
      </w:r>
      <w:r>
        <w:rPr>
          <w:color w:val="231F20"/>
          <w:spacing w:val="-10"/>
        </w:rPr>
        <w:t> </w:t>
      </w:r>
      <w:r>
        <w:rPr>
          <w:color w:val="231F20"/>
        </w:rPr>
        <w:t>in</w:t>
      </w:r>
      <w:r>
        <w:rPr>
          <w:color w:val="231F20"/>
          <w:spacing w:val="-10"/>
        </w:rPr>
        <w:t> </w:t>
      </w:r>
      <w:r>
        <w:rPr>
          <w:color w:val="231F20"/>
        </w:rPr>
        <w:t>the</w:t>
      </w:r>
      <w:r>
        <w:rPr>
          <w:color w:val="231F20"/>
          <w:spacing w:val="-9"/>
        </w:rPr>
        <w:t> </w:t>
      </w:r>
      <w:r>
        <w:rPr>
          <w:color w:val="231F20"/>
        </w:rPr>
        <w:t>image</w:t>
      </w:r>
      <w:r>
        <w:rPr>
          <w:color w:val="231F20"/>
          <w:spacing w:val="-10"/>
        </w:rPr>
        <w:t> </w:t>
      </w:r>
      <w:r>
        <w:rPr>
          <w:color w:val="231F20"/>
        </w:rPr>
        <w:t>of</w:t>
      </w:r>
      <w:r>
        <w:rPr>
          <w:color w:val="231F20"/>
          <w:spacing w:val="-10"/>
        </w:rPr>
        <w:t> </w:t>
      </w:r>
      <w:r>
        <w:rPr>
          <w:color w:val="231F20"/>
        </w:rPr>
        <w:t>God.</w:t>
      </w:r>
      <w:r>
        <w:rPr>
          <w:color w:val="231F20"/>
          <w:spacing w:val="-9"/>
        </w:rPr>
        <w:t> </w:t>
      </w:r>
      <w:r>
        <w:rPr>
          <w:color w:val="231F20"/>
        </w:rPr>
        <w:t>This,</w:t>
      </w:r>
      <w:r>
        <w:rPr>
          <w:color w:val="231F20"/>
          <w:spacing w:val="-10"/>
        </w:rPr>
        <w:t> </w:t>
      </w:r>
      <w:r>
        <w:rPr>
          <w:color w:val="231F20"/>
        </w:rPr>
        <w:t>their</w:t>
      </w:r>
      <w:r>
        <w:rPr>
          <w:color w:val="231F20"/>
          <w:spacing w:val="-10"/>
        </w:rPr>
        <w:t> </w:t>
      </w:r>
      <w:r>
        <w:rPr>
          <w:color w:val="231F20"/>
        </w:rPr>
        <w:t>parents</w:t>
      </w:r>
      <w:r>
        <w:rPr>
          <w:color w:val="231F20"/>
          <w:spacing w:val="-9"/>
        </w:rPr>
        <w:t> </w:t>
      </w:r>
      <w:r>
        <w:rPr>
          <w:color w:val="231F20"/>
        </w:rPr>
        <w:t>can</w:t>
      </w:r>
      <w:r>
        <w:rPr>
          <w:color w:val="231F20"/>
          <w:spacing w:val="-10"/>
        </w:rPr>
        <w:t> </w:t>
      </w:r>
      <w:r>
        <w:rPr>
          <w:color w:val="231F20"/>
        </w:rPr>
        <w:t>too</w:t>
      </w:r>
      <w:r>
        <w:rPr>
          <w:color w:val="231F20"/>
          <w:spacing w:val="-10"/>
        </w:rPr>
        <w:t> </w:t>
      </w:r>
      <w:r>
        <w:rPr>
          <w:color w:val="231F20"/>
        </w:rPr>
        <w:t>easily</w:t>
      </w:r>
      <w:r>
        <w:rPr>
          <w:color w:val="231F20"/>
          <w:spacing w:val="-9"/>
        </w:rPr>
        <w:t> </w:t>
      </w:r>
      <w:r>
        <w:rPr>
          <w:color w:val="231F20"/>
        </w:rPr>
        <w:t>overlook.</w:t>
      </w:r>
      <w:r>
        <w:rPr>
          <w:color w:val="231F20"/>
          <w:spacing w:val="-10"/>
        </w:rPr>
        <w:t> </w:t>
      </w:r>
      <w:r>
        <w:rPr>
          <w:color w:val="231F20"/>
        </w:rPr>
        <w:t>But</w:t>
      </w:r>
      <w:r>
        <w:rPr>
          <w:color w:val="231F20"/>
          <w:spacing w:val="-10"/>
        </w:rPr>
        <w:t> </w:t>
      </w:r>
      <w:r>
        <w:rPr>
          <w:color w:val="231F20"/>
        </w:rPr>
        <w:t>they</w:t>
      </w:r>
      <w:r>
        <w:rPr>
          <w:color w:val="231F20"/>
          <w:spacing w:val="-9"/>
        </w:rPr>
        <w:t> </w:t>
      </w:r>
      <w:r>
        <w:rPr>
          <w:color w:val="231F20"/>
        </w:rPr>
        <w:t>are also</w:t>
      </w:r>
      <w:r>
        <w:rPr>
          <w:color w:val="231F20"/>
          <w:spacing w:val="32"/>
        </w:rPr>
        <w:t> </w:t>
      </w:r>
      <w:r>
        <w:rPr>
          <w:color w:val="231F20"/>
        </w:rPr>
        <w:t>vulnerable</w:t>
      </w:r>
      <w:r>
        <w:rPr>
          <w:color w:val="231F20"/>
          <w:spacing w:val="32"/>
        </w:rPr>
        <w:t> </w:t>
      </w:r>
      <w:r>
        <w:rPr>
          <w:color w:val="231F20"/>
        </w:rPr>
        <w:t>and</w:t>
      </w:r>
      <w:r>
        <w:rPr>
          <w:color w:val="231F20"/>
          <w:spacing w:val="32"/>
        </w:rPr>
        <w:t> </w:t>
      </w:r>
      <w:r>
        <w:rPr>
          <w:color w:val="231F20"/>
        </w:rPr>
        <w:t>remind</w:t>
      </w:r>
      <w:r>
        <w:rPr>
          <w:color w:val="231F20"/>
          <w:spacing w:val="33"/>
        </w:rPr>
        <w:t> </w:t>
      </w:r>
      <w:r>
        <w:rPr>
          <w:color w:val="231F20"/>
        </w:rPr>
        <w:t>their</w:t>
      </w:r>
      <w:r>
        <w:rPr>
          <w:color w:val="231F20"/>
          <w:spacing w:val="32"/>
        </w:rPr>
        <w:t> </w:t>
      </w:r>
      <w:r>
        <w:rPr>
          <w:color w:val="231F20"/>
        </w:rPr>
        <w:t>parents</w:t>
      </w:r>
      <w:r>
        <w:rPr>
          <w:color w:val="231F20"/>
          <w:spacing w:val="32"/>
        </w:rPr>
        <w:t> </w:t>
      </w:r>
      <w:r>
        <w:rPr>
          <w:color w:val="231F20"/>
        </w:rPr>
        <w:t>of</w:t>
      </w:r>
      <w:r>
        <w:rPr>
          <w:color w:val="231F20"/>
          <w:spacing w:val="33"/>
        </w:rPr>
        <w:t> </w:t>
      </w:r>
      <w:r>
        <w:rPr>
          <w:color w:val="231F20"/>
        </w:rPr>
        <w:t>the</w:t>
      </w:r>
      <w:r>
        <w:rPr>
          <w:color w:val="231F20"/>
          <w:spacing w:val="32"/>
        </w:rPr>
        <w:t> </w:t>
      </w:r>
      <w:r>
        <w:rPr>
          <w:color w:val="231F20"/>
        </w:rPr>
        <w:t>great</w:t>
      </w:r>
      <w:r>
        <w:rPr>
          <w:color w:val="231F20"/>
          <w:spacing w:val="32"/>
        </w:rPr>
        <w:t> </w:t>
      </w:r>
      <w:r>
        <w:rPr>
          <w:color w:val="231F20"/>
        </w:rPr>
        <w:t>challenge</w:t>
      </w:r>
      <w:r>
        <w:rPr>
          <w:color w:val="231F20"/>
          <w:spacing w:val="32"/>
        </w:rPr>
        <w:t> </w:t>
      </w:r>
      <w:r>
        <w:rPr>
          <w:color w:val="231F20"/>
        </w:rPr>
        <w:t>of</w:t>
      </w:r>
      <w:r>
        <w:rPr>
          <w:color w:val="231F20"/>
          <w:spacing w:val="33"/>
        </w:rPr>
        <w:t> </w:t>
      </w:r>
      <w:r>
        <w:rPr>
          <w:color w:val="231F20"/>
        </w:rPr>
        <w:t>parenthood</w:t>
      </w:r>
    </w:p>
    <w:p>
      <w:pPr>
        <w:spacing w:after="0" w:line="216" w:lineRule="auto"/>
        <w:sectPr>
          <w:headerReference w:type="default" r:id="rId130"/>
          <w:footerReference w:type="default" r:id="rId131"/>
          <w:pgSz w:w="11910" w:h="16840"/>
          <w:pgMar w:header="0" w:footer="902" w:top="1280" w:bottom="1100" w:left="160" w:right="220"/>
          <w:pgNumType w:start="6"/>
        </w:sectPr>
      </w:pPr>
    </w:p>
    <w:p>
      <w:pPr>
        <w:pStyle w:val="Heading5"/>
        <w:spacing w:before="80"/>
        <w:ind w:left="885"/>
      </w:pPr>
      <w:r>
        <w:rPr>
          <w:color w:val="231F20"/>
        </w:rPr>
        <w:t>which grows no less, as their children continue to grow into adulthood:</w:t>
      </w:r>
    </w:p>
    <w:p>
      <w:pPr>
        <w:pStyle w:val="Heading6"/>
        <w:spacing w:line="216" w:lineRule="auto" w:before="114"/>
        <w:ind w:left="1444" w:right="749" w:firstLine="263"/>
        <w:jc w:val="both"/>
      </w:pPr>
      <w:r>
        <w:rPr>
          <w:i/>
          <w:color w:val="231F20"/>
        </w:rPr>
        <w:t>The overall education of children is a “most serious duty” and at the same time </w:t>
      </w:r>
      <w:r>
        <w:rPr>
          <w:i/>
          <w:color w:val="231F20"/>
          <w:spacing w:val="-17"/>
        </w:rPr>
        <w:t>a </w:t>
      </w:r>
      <w:r>
        <w:rPr>
          <w:color w:val="231F20"/>
        </w:rPr>
        <w:t>“primary right” of parents. This is not just a task or a burden, but an essential </w:t>
      </w:r>
      <w:r>
        <w:rPr>
          <w:color w:val="231F20"/>
          <w:spacing w:val="-6"/>
        </w:rPr>
        <w:t>and </w:t>
      </w:r>
      <w:r>
        <w:rPr>
          <w:color w:val="231F20"/>
        </w:rPr>
        <w:t>inalienable right that parents are called to defend and of which no one may claim </w:t>
      </w:r>
      <w:r>
        <w:rPr>
          <w:color w:val="231F20"/>
          <w:spacing w:val="-9"/>
        </w:rPr>
        <w:t>to</w:t>
      </w:r>
    </w:p>
    <w:p>
      <w:pPr>
        <w:pStyle w:val="Heading6"/>
        <w:spacing w:line="334" w:lineRule="exact"/>
        <w:ind w:left="9254" w:right="0"/>
        <w:jc w:val="both"/>
        <w:rPr>
          <w:i/>
        </w:rPr>
      </w:pPr>
      <w:r>
        <w:rPr>
          <w:i/>
          <w:color w:val="231F20"/>
        </w:rPr>
        <w:t>deprive</w:t>
      </w:r>
      <w:r>
        <w:rPr>
          <w:i/>
          <w:color w:val="231F20"/>
          <w:spacing w:val="-5"/>
        </w:rPr>
        <w:t> </w:t>
      </w:r>
      <w:r>
        <w:rPr>
          <w:i/>
          <w:color w:val="231F20"/>
        </w:rPr>
        <w:t>them.</w:t>
      </w:r>
    </w:p>
    <w:p>
      <w:pPr>
        <w:pStyle w:val="Heading5"/>
        <w:spacing w:line="358" w:lineRule="exact"/>
        <w:ind w:right="749"/>
        <w:jc w:val="right"/>
      </w:pPr>
      <w:r>
        <w:rPr>
          <w:color w:val="231F20"/>
        </w:rPr>
        <w:t>AL 84</w:t>
      </w:r>
    </w:p>
    <w:p>
      <w:pPr>
        <w:spacing w:after="0" w:line="358" w:lineRule="exact"/>
        <w:jc w:val="right"/>
        <w:sectPr>
          <w:headerReference w:type="default" r:id="rId132"/>
          <w:footerReference w:type="default" r:id="rId133"/>
          <w:pgSz w:w="11910" w:h="16840"/>
          <w:pgMar w:header="0" w:footer="796" w:top="1540" w:bottom="980" w:left="160" w:right="220"/>
        </w:sectPr>
      </w:pPr>
    </w:p>
    <w:p>
      <w:pPr>
        <w:spacing w:line="216" w:lineRule="auto" w:before="51"/>
        <w:ind w:left="899" w:right="0" w:firstLine="0"/>
        <w:jc w:val="left"/>
        <w:rPr>
          <w:rFonts w:ascii="Palatino Linotype" w:hAnsi="Palatino Linotype"/>
          <w:b/>
          <w:i/>
          <w:sz w:val="48"/>
        </w:rPr>
      </w:pPr>
      <w:r>
        <w:rPr>
          <w:rFonts w:ascii="Palatino Linotype" w:hAnsi="Palatino Linotype"/>
          <w:b/>
          <w:i/>
          <w:color w:val="008790"/>
          <w:sz w:val="48"/>
        </w:rPr>
        <w:t>“When a couple </w:t>
      </w:r>
      <w:r>
        <w:rPr>
          <w:rFonts w:ascii="Palatino Linotype" w:hAnsi="Palatino Linotype"/>
          <w:b/>
          <w:i/>
          <w:color w:val="008790"/>
          <w:spacing w:val="-8"/>
          <w:sz w:val="48"/>
        </w:rPr>
        <w:t>have </w:t>
      </w:r>
      <w:r>
        <w:rPr>
          <w:rFonts w:ascii="Palatino Linotype" w:hAnsi="Palatino Linotype"/>
          <w:b/>
          <w:i/>
          <w:color w:val="008790"/>
          <w:sz w:val="48"/>
        </w:rPr>
        <w:t>children to pray with, they lose their self-consciousness, and learn how to pray as a family.”</w:t>
      </w:r>
    </w:p>
    <w:p>
      <w:pPr>
        <w:pStyle w:val="Heading5"/>
        <w:spacing w:line="216" w:lineRule="auto" w:before="128"/>
        <w:ind w:left="199" w:right="763"/>
      </w:pPr>
      <w:r>
        <w:rPr/>
        <w:br w:type="column"/>
      </w:r>
      <w:r>
        <w:rPr>
          <w:color w:val="231F20"/>
        </w:rPr>
        <w:t>In their role as the primary educators, </w:t>
      </w:r>
      <w:r>
        <w:rPr>
          <w:color w:val="231F20"/>
          <w:spacing w:val="-12"/>
        </w:rPr>
        <w:t>we </w:t>
      </w:r>
      <w:r>
        <w:rPr>
          <w:color w:val="231F20"/>
          <w:spacing w:val="-3"/>
        </w:rPr>
        <w:t>take this opportunity </w:t>
      </w:r>
      <w:r>
        <w:rPr>
          <w:color w:val="231F20"/>
        </w:rPr>
        <w:t>to </w:t>
      </w:r>
      <w:r>
        <w:rPr>
          <w:color w:val="231F20"/>
          <w:spacing w:val="-3"/>
        </w:rPr>
        <w:t>encourage</w:t>
      </w:r>
      <w:r>
        <w:rPr>
          <w:color w:val="231F20"/>
          <w:spacing w:val="-50"/>
        </w:rPr>
        <w:t> </w:t>
      </w:r>
      <w:r>
        <w:rPr>
          <w:color w:val="231F20"/>
          <w:spacing w:val="-3"/>
        </w:rPr>
        <w:t>parents </w:t>
      </w:r>
      <w:r>
        <w:rPr>
          <w:color w:val="231F20"/>
        </w:rPr>
        <w:t>to</w:t>
      </w:r>
      <w:r>
        <w:rPr>
          <w:color w:val="231F20"/>
          <w:spacing w:val="-13"/>
        </w:rPr>
        <w:t> </w:t>
      </w:r>
      <w:r>
        <w:rPr>
          <w:color w:val="231F20"/>
          <w:spacing w:val="-3"/>
        </w:rPr>
        <w:t>make</w:t>
      </w:r>
      <w:r>
        <w:rPr>
          <w:color w:val="231F20"/>
          <w:spacing w:val="-12"/>
        </w:rPr>
        <w:t> </w:t>
      </w:r>
      <w:r>
        <w:rPr>
          <w:color w:val="231F20"/>
        </w:rPr>
        <w:t>the</w:t>
      </w:r>
      <w:r>
        <w:rPr>
          <w:color w:val="231F20"/>
          <w:spacing w:val="-12"/>
        </w:rPr>
        <w:t> </w:t>
      </w:r>
      <w:r>
        <w:rPr>
          <w:color w:val="231F20"/>
          <w:spacing w:val="-3"/>
        </w:rPr>
        <w:t>family</w:t>
      </w:r>
      <w:r>
        <w:rPr>
          <w:color w:val="231F20"/>
          <w:spacing w:val="-13"/>
        </w:rPr>
        <w:t> </w:t>
      </w:r>
      <w:r>
        <w:rPr>
          <w:color w:val="231F20"/>
          <w:spacing w:val="-3"/>
        </w:rPr>
        <w:t>home</w:t>
      </w:r>
      <w:r>
        <w:rPr>
          <w:color w:val="231F20"/>
          <w:spacing w:val="-12"/>
        </w:rPr>
        <w:t> </w:t>
      </w:r>
      <w:r>
        <w:rPr>
          <w:color w:val="231F20"/>
        </w:rPr>
        <w:t>a</w:t>
      </w:r>
      <w:r>
        <w:rPr>
          <w:color w:val="231F20"/>
          <w:spacing w:val="-12"/>
        </w:rPr>
        <w:t> </w:t>
      </w:r>
      <w:r>
        <w:rPr>
          <w:color w:val="231F20"/>
          <w:spacing w:val="-3"/>
        </w:rPr>
        <w:t>place</w:t>
      </w:r>
      <w:r>
        <w:rPr>
          <w:color w:val="231F20"/>
          <w:spacing w:val="-13"/>
        </w:rPr>
        <w:t> </w:t>
      </w:r>
      <w:r>
        <w:rPr>
          <w:color w:val="231F20"/>
        </w:rPr>
        <w:t>of</w:t>
      </w:r>
      <w:r>
        <w:rPr>
          <w:color w:val="231F20"/>
          <w:spacing w:val="-12"/>
        </w:rPr>
        <w:t> </w:t>
      </w:r>
      <w:r>
        <w:rPr>
          <w:color w:val="231F20"/>
          <w:spacing w:val="-4"/>
        </w:rPr>
        <w:t>prayer. </w:t>
      </w:r>
      <w:r>
        <w:rPr>
          <w:color w:val="231F20"/>
        </w:rPr>
        <w:t>It is when the family pray together that they most openly express their radical dependence upon God’s mercy. In praying together they continually </w:t>
      </w:r>
      <w:r>
        <w:rPr>
          <w:color w:val="231F20"/>
          <w:spacing w:val="-3"/>
        </w:rPr>
        <w:t>remind </w:t>
      </w:r>
      <w:r>
        <w:rPr>
          <w:color w:val="231F20"/>
        </w:rPr>
        <w:t>each other of their equality of need</w:t>
      </w:r>
      <w:r>
        <w:rPr>
          <w:color w:val="231F20"/>
          <w:spacing w:val="-33"/>
        </w:rPr>
        <w:t> </w:t>
      </w:r>
      <w:r>
        <w:rPr>
          <w:color w:val="231F20"/>
          <w:spacing w:val="-3"/>
        </w:rPr>
        <w:t>before </w:t>
      </w:r>
      <w:r>
        <w:rPr>
          <w:color w:val="231F20"/>
        </w:rPr>
        <w:t>him, and of his paternal love to all of his children - whether they call themselves adults or not.</w:t>
      </w:r>
    </w:p>
    <w:p>
      <w:pPr>
        <w:spacing w:after="0" w:line="216" w:lineRule="auto"/>
        <w:sectPr>
          <w:type w:val="continuous"/>
          <w:pgSz w:w="11910" w:h="16840"/>
          <w:pgMar w:top="1320" w:bottom="1640" w:left="160" w:right="220"/>
          <w:cols w:num="2" w:equalWidth="0">
            <w:col w:w="5387" w:space="40"/>
            <w:col w:w="6103"/>
          </w:cols>
        </w:sectPr>
      </w:pPr>
    </w:p>
    <w:p>
      <w:pPr>
        <w:pStyle w:val="Heading5"/>
        <w:spacing w:line="216" w:lineRule="auto" w:before="167"/>
        <w:ind w:left="800" w:right="758"/>
      </w:pPr>
      <w:r>
        <w:rPr>
          <w:color w:val="231F20"/>
        </w:rPr>
        <w:t>When</w:t>
      </w:r>
      <w:r>
        <w:rPr>
          <w:color w:val="231F20"/>
          <w:spacing w:val="-8"/>
        </w:rPr>
        <w:t> </w:t>
      </w:r>
      <w:r>
        <w:rPr>
          <w:color w:val="231F20"/>
        </w:rPr>
        <w:t>a</w:t>
      </w:r>
      <w:r>
        <w:rPr>
          <w:color w:val="231F20"/>
          <w:spacing w:val="-7"/>
        </w:rPr>
        <w:t> </w:t>
      </w:r>
      <w:r>
        <w:rPr>
          <w:color w:val="231F20"/>
        </w:rPr>
        <w:t>couple</w:t>
      </w:r>
      <w:r>
        <w:rPr>
          <w:color w:val="231F20"/>
          <w:spacing w:val="-8"/>
        </w:rPr>
        <w:t> </w:t>
      </w:r>
      <w:r>
        <w:rPr>
          <w:color w:val="231F20"/>
        </w:rPr>
        <w:t>have</w:t>
      </w:r>
      <w:r>
        <w:rPr>
          <w:color w:val="231F20"/>
          <w:spacing w:val="-7"/>
        </w:rPr>
        <w:t> </w:t>
      </w:r>
      <w:r>
        <w:rPr>
          <w:color w:val="231F20"/>
        </w:rPr>
        <w:t>children</w:t>
      </w:r>
      <w:r>
        <w:rPr>
          <w:color w:val="231F20"/>
          <w:spacing w:val="-7"/>
        </w:rPr>
        <w:t> </w:t>
      </w:r>
      <w:r>
        <w:rPr>
          <w:color w:val="231F20"/>
        </w:rPr>
        <w:t>to</w:t>
      </w:r>
      <w:r>
        <w:rPr>
          <w:color w:val="231F20"/>
          <w:spacing w:val="-8"/>
        </w:rPr>
        <w:t> </w:t>
      </w:r>
      <w:r>
        <w:rPr>
          <w:color w:val="231F20"/>
        </w:rPr>
        <w:t>pray</w:t>
      </w:r>
      <w:r>
        <w:rPr>
          <w:color w:val="231F20"/>
          <w:spacing w:val="-7"/>
        </w:rPr>
        <w:t> </w:t>
      </w:r>
      <w:r>
        <w:rPr>
          <w:color w:val="231F20"/>
        </w:rPr>
        <w:t>with,</w:t>
      </w:r>
      <w:r>
        <w:rPr>
          <w:color w:val="231F20"/>
          <w:spacing w:val="-7"/>
        </w:rPr>
        <w:t> </w:t>
      </w:r>
      <w:r>
        <w:rPr>
          <w:color w:val="231F20"/>
        </w:rPr>
        <w:t>they</w:t>
      </w:r>
      <w:r>
        <w:rPr>
          <w:color w:val="231F20"/>
          <w:spacing w:val="-8"/>
        </w:rPr>
        <w:t> </w:t>
      </w:r>
      <w:r>
        <w:rPr>
          <w:color w:val="231F20"/>
        </w:rPr>
        <w:t>lose</w:t>
      </w:r>
      <w:r>
        <w:rPr>
          <w:color w:val="231F20"/>
          <w:spacing w:val="-7"/>
        </w:rPr>
        <w:t> </w:t>
      </w:r>
      <w:r>
        <w:rPr>
          <w:color w:val="231F20"/>
        </w:rPr>
        <w:t>their</w:t>
      </w:r>
      <w:r>
        <w:rPr>
          <w:color w:val="231F20"/>
          <w:spacing w:val="-8"/>
        </w:rPr>
        <w:t> </w:t>
      </w:r>
      <w:r>
        <w:rPr>
          <w:color w:val="231F20"/>
        </w:rPr>
        <w:t>self-consciousness,</w:t>
      </w:r>
      <w:r>
        <w:rPr>
          <w:color w:val="231F20"/>
          <w:spacing w:val="-7"/>
        </w:rPr>
        <w:t> </w:t>
      </w:r>
      <w:r>
        <w:rPr>
          <w:color w:val="231F20"/>
          <w:spacing w:val="-4"/>
        </w:rPr>
        <w:t>and </w:t>
      </w:r>
      <w:r>
        <w:rPr>
          <w:color w:val="231F20"/>
        </w:rPr>
        <w:t>learn</w:t>
      </w:r>
      <w:r>
        <w:rPr>
          <w:color w:val="231F20"/>
          <w:spacing w:val="-7"/>
        </w:rPr>
        <w:t> </w:t>
      </w:r>
      <w:r>
        <w:rPr>
          <w:color w:val="231F20"/>
        </w:rPr>
        <w:t>how</w:t>
      </w:r>
      <w:r>
        <w:rPr>
          <w:color w:val="231F20"/>
          <w:spacing w:val="-7"/>
        </w:rPr>
        <w:t> </w:t>
      </w:r>
      <w:r>
        <w:rPr>
          <w:color w:val="231F20"/>
        </w:rPr>
        <w:t>to</w:t>
      </w:r>
      <w:r>
        <w:rPr>
          <w:color w:val="231F20"/>
          <w:spacing w:val="-7"/>
        </w:rPr>
        <w:t> </w:t>
      </w:r>
      <w:r>
        <w:rPr>
          <w:color w:val="231F20"/>
        </w:rPr>
        <w:t>pray</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family.</w:t>
      </w:r>
      <w:r>
        <w:rPr>
          <w:color w:val="231F20"/>
          <w:spacing w:val="-7"/>
        </w:rPr>
        <w:t> </w:t>
      </w:r>
      <w:r>
        <w:rPr>
          <w:color w:val="231F20"/>
        </w:rPr>
        <w:t>They</w:t>
      </w:r>
      <w:r>
        <w:rPr>
          <w:color w:val="231F20"/>
          <w:spacing w:val="-7"/>
        </w:rPr>
        <w:t> </w:t>
      </w:r>
      <w:r>
        <w:rPr>
          <w:color w:val="231F20"/>
        </w:rPr>
        <w:t>practise</w:t>
      </w:r>
      <w:r>
        <w:rPr>
          <w:color w:val="231F20"/>
          <w:spacing w:val="-7"/>
        </w:rPr>
        <w:t> </w:t>
      </w:r>
      <w:r>
        <w:rPr>
          <w:color w:val="231F20"/>
        </w:rPr>
        <w:t>the</w:t>
      </w:r>
      <w:r>
        <w:rPr>
          <w:color w:val="231F20"/>
          <w:spacing w:val="-7"/>
        </w:rPr>
        <w:t> </w:t>
      </w:r>
      <w:r>
        <w:rPr>
          <w:color w:val="231F20"/>
        </w:rPr>
        <w:t>virtue</w:t>
      </w:r>
      <w:r>
        <w:rPr>
          <w:color w:val="231F20"/>
          <w:spacing w:val="-7"/>
        </w:rPr>
        <w:t> </w:t>
      </w:r>
      <w:r>
        <w:rPr>
          <w:color w:val="231F20"/>
        </w:rPr>
        <w:t>of</w:t>
      </w:r>
      <w:r>
        <w:rPr>
          <w:color w:val="231F20"/>
          <w:spacing w:val="-7"/>
        </w:rPr>
        <w:t> </w:t>
      </w:r>
      <w:r>
        <w:rPr>
          <w:color w:val="231F20"/>
        </w:rPr>
        <w:t>humility</w:t>
      </w:r>
      <w:r>
        <w:rPr>
          <w:color w:val="231F20"/>
          <w:spacing w:val="-7"/>
        </w:rPr>
        <w:t> </w:t>
      </w:r>
      <w:r>
        <w:rPr>
          <w:color w:val="231F20"/>
        </w:rPr>
        <w:t>when</w:t>
      </w:r>
      <w:r>
        <w:rPr>
          <w:color w:val="231F20"/>
          <w:spacing w:val="-7"/>
        </w:rPr>
        <w:t> </w:t>
      </w:r>
      <w:r>
        <w:rPr>
          <w:color w:val="231F20"/>
        </w:rPr>
        <w:t>they</w:t>
      </w:r>
      <w:r>
        <w:rPr>
          <w:color w:val="231F20"/>
          <w:spacing w:val="-7"/>
        </w:rPr>
        <w:t> </w:t>
      </w:r>
      <w:r>
        <w:rPr>
          <w:color w:val="231F20"/>
        </w:rPr>
        <w:t>join their children in prayer. Moreover, by exercising the virtue of humility in the family cradle of prayer, we have a daily reminder of our identity as radically dependent, ﬂawed</w:t>
      </w:r>
      <w:r>
        <w:rPr>
          <w:color w:val="231F20"/>
          <w:spacing w:val="-1"/>
        </w:rPr>
        <w:t> </w:t>
      </w:r>
      <w:r>
        <w:rPr>
          <w:color w:val="231F20"/>
        </w:rPr>
        <w:t>creatures.</w:t>
      </w:r>
    </w:p>
    <w:p>
      <w:pPr>
        <w:pStyle w:val="BodyText"/>
        <w:spacing w:before="11"/>
        <w:rPr>
          <w:rFonts w:ascii="Palatino Linotype"/>
          <w:sz w:val="25"/>
        </w:rPr>
      </w:pPr>
    </w:p>
    <w:p>
      <w:pPr>
        <w:pStyle w:val="Heading5"/>
        <w:spacing w:line="216" w:lineRule="auto"/>
        <w:ind w:left="800" w:right="758"/>
      </w:pPr>
      <w:r>
        <w:rPr>
          <w:color w:val="231F20"/>
        </w:rPr>
        <w:t>And</w:t>
      </w:r>
      <w:r>
        <w:rPr>
          <w:color w:val="231F20"/>
          <w:spacing w:val="-14"/>
        </w:rPr>
        <w:t> </w:t>
      </w:r>
      <w:r>
        <w:rPr>
          <w:color w:val="231F20"/>
          <w:spacing w:val="-3"/>
        </w:rPr>
        <w:t>this</w:t>
      </w:r>
      <w:r>
        <w:rPr>
          <w:color w:val="231F20"/>
          <w:spacing w:val="-13"/>
        </w:rPr>
        <w:t> </w:t>
      </w:r>
      <w:r>
        <w:rPr>
          <w:color w:val="231F20"/>
          <w:spacing w:val="-4"/>
        </w:rPr>
        <w:t>prayerful</w:t>
      </w:r>
      <w:r>
        <w:rPr>
          <w:color w:val="231F20"/>
          <w:spacing w:val="-13"/>
        </w:rPr>
        <w:t> </w:t>
      </w:r>
      <w:r>
        <w:rPr>
          <w:color w:val="231F20"/>
          <w:spacing w:val="-3"/>
        </w:rPr>
        <w:t>humility</w:t>
      </w:r>
      <w:r>
        <w:rPr>
          <w:color w:val="231F20"/>
          <w:spacing w:val="-13"/>
        </w:rPr>
        <w:t> </w:t>
      </w:r>
      <w:r>
        <w:rPr>
          <w:color w:val="231F20"/>
          <w:spacing w:val="-3"/>
        </w:rPr>
        <w:t>helps</w:t>
      </w:r>
      <w:r>
        <w:rPr>
          <w:color w:val="231F20"/>
          <w:spacing w:val="-13"/>
        </w:rPr>
        <w:t> </w:t>
      </w:r>
      <w:r>
        <w:rPr>
          <w:color w:val="231F20"/>
        </w:rPr>
        <w:t>the</w:t>
      </w:r>
      <w:r>
        <w:rPr>
          <w:color w:val="231F20"/>
          <w:spacing w:val="-13"/>
        </w:rPr>
        <w:t> </w:t>
      </w:r>
      <w:r>
        <w:rPr>
          <w:color w:val="231F20"/>
          <w:spacing w:val="-3"/>
        </w:rPr>
        <w:t>family</w:t>
      </w:r>
      <w:r>
        <w:rPr>
          <w:color w:val="231F20"/>
          <w:spacing w:val="-13"/>
        </w:rPr>
        <w:t> </w:t>
      </w:r>
      <w:r>
        <w:rPr>
          <w:color w:val="231F20"/>
          <w:spacing w:val="-3"/>
        </w:rPr>
        <w:t>learn</w:t>
      </w:r>
      <w:r>
        <w:rPr>
          <w:color w:val="231F20"/>
          <w:spacing w:val="-13"/>
        </w:rPr>
        <w:t> </w:t>
      </w:r>
      <w:r>
        <w:rPr>
          <w:color w:val="231F20"/>
        </w:rPr>
        <w:t>how</w:t>
      </w:r>
      <w:r>
        <w:rPr>
          <w:color w:val="231F20"/>
          <w:spacing w:val="-14"/>
        </w:rPr>
        <w:t> </w:t>
      </w:r>
      <w:r>
        <w:rPr>
          <w:color w:val="231F20"/>
        </w:rPr>
        <w:t>to</w:t>
      </w:r>
      <w:r>
        <w:rPr>
          <w:color w:val="231F20"/>
          <w:spacing w:val="-13"/>
        </w:rPr>
        <w:t> </w:t>
      </w:r>
      <w:r>
        <w:rPr>
          <w:color w:val="231F20"/>
          <w:spacing w:val="-4"/>
        </w:rPr>
        <w:t>live</w:t>
      </w:r>
      <w:r>
        <w:rPr>
          <w:color w:val="231F20"/>
          <w:spacing w:val="-13"/>
        </w:rPr>
        <w:t> </w:t>
      </w:r>
      <w:r>
        <w:rPr>
          <w:color w:val="231F20"/>
          <w:spacing w:val="-3"/>
        </w:rPr>
        <w:t>alongside</w:t>
      </w:r>
      <w:r>
        <w:rPr>
          <w:color w:val="231F20"/>
          <w:spacing w:val="-13"/>
        </w:rPr>
        <w:t> </w:t>
      </w:r>
      <w:r>
        <w:rPr>
          <w:color w:val="231F20"/>
          <w:spacing w:val="-3"/>
        </w:rPr>
        <w:t>each</w:t>
      </w:r>
      <w:r>
        <w:rPr>
          <w:color w:val="231F20"/>
          <w:spacing w:val="-13"/>
        </w:rPr>
        <w:t> </w:t>
      </w:r>
      <w:r>
        <w:rPr>
          <w:color w:val="231F20"/>
          <w:spacing w:val="-3"/>
        </w:rPr>
        <w:t>other </w:t>
      </w:r>
      <w:r>
        <w:rPr>
          <w:color w:val="231F20"/>
        </w:rPr>
        <w:t>rather than over each</w:t>
      </w:r>
      <w:r>
        <w:rPr>
          <w:color w:val="231F20"/>
          <w:spacing w:val="-1"/>
        </w:rPr>
        <w:t> </w:t>
      </w:r>
      <w:r>
        <w:rPr>
          <w:color w:val="231F20"/>
        </w:rPr>
        <w:t>other:</w:t>
      </w:r>
    </w:p>
    <w:p>
      <w:pPr>
        <w:pStyle w:val="Heading6"/>
        <w:spacing w:line="216" w:lineRule="auto" w:before="168"/>
        <w:ind w:left="1558" w:right="762" w:hanging="75"/>
      </w:pPr>
      <w:r>
        <w:rPr>
          <w:i/>
          <w:color w:val="231F20"/>
        </w:rPr>
        <w:t>Jesus told his disciples that in a world where power prevails, each tries</w:t>
      </w:r>
      <w:r>
        <w:rPr>
          <w:i/>
          <w:color w:val="231F20"/>
          <w:spacing w:val="-27"/>
        </w:rPr>
        <w:t> </w:t>
      </w:r>
      <w:r>
        <w:rPr>
          <w:i/>
          <w:color w:val="231F20"/>
        </w:rPr>
        <w:t>to</w:t>
      </w:r>
      <w:r>
        <w:rPr>
          <w:i/>
          <w:color w:val="231F20"/>
          <w:spacing w:val="-2"/>
        </w:rPr>
        <w:t> </w:t>
      </w:r>
      <w:r>
        <w:rPr>
          <w:i/>
          <w:color w:val="231F20"/>
        </w:rPr>
        <w:t>dominate</w:t>
      </w:r>
      <w:r>
        <w:rPr>
          <w:color w:val="231F20"/>
        </w:rPr>
        <w:t> the other, but “it shall not be so among you” (Mt 20:26). The inner logic of Christian love is not about importance and power; rather, “whoever would</w:t>
      </w:r>
      <w:r>
        <w:rPr>
          <w:color w:val="231F20"/>
          <w:spacing w:val="-14"/>
        </w:rPr>
        <w:t> </w:t>
      </w:r>
      <w:r>
        <w:rPr>
          <w:color w:val="231F20"/>
        </w:rPr>
        <w:t>be</w:t>
      </w:r>
      <w:r>
        <w:rPr>
          <w:color w:val="231F20"/>
          <w:spacing w:val="-1"/>
        </w:rPr>
        <w:t> </w:t>
      </w:r>
      <w:r>
        <w:rPr>
          <w:color w:val="231F20"/>
          <w:spacing w:val="-4"/>
        </w:rPr>
        <w:t>ﬁrst</w:t>
      </w:r>
      <w:r>
        <w:rPr>
          <w:color w:val="231F20"/>
        </w:rPr>
        <w:t> among you must be your slave” (Mt 20:27). In family life, the logic</w:t>
      </w:r>
      <w:r>
        <w:rPr>
          <w:color w:val="231F20"/>
          <w:spacing w:val="-16"/>
        </w:rPr>
        <w:t> </w:t>
      </w:r>
      <w:r>
        <w:rPr>
          <w:color w:val="231F20"/>
        </w:rPr>
        <w:t>of</w:t>
      </w:r>
      <w:r>
        <w:rPr>
          <w:color w:val="231F20"/>
          <w:spacing w:val="-1"/>
        </w:rPr>
        <w:t> </w:t>
      </w:r>
      <w:r>
        <w:rPr>
          <w:color w:val="231F20"/>
        </w:rPr>
        <w:t>domination and competition about who is the most intelligent or powerful destroys</w:t>
      </w:r>
      <w:r>
        <w:rPr>
          <w:color w:val="231F20"/>
          <w:spacing w:val="-17"/>
        </w:rPr>
        <w:t> </w:t>
      </w:r>
      <w:r>
        <w:rPr>
          <w:color w:val="231F20"/>
        </w:rPr>
        <w:t>love.</w:t>
      </w:r>
    </w:p>
    <w:p>
      <w:pPr>
        <w:pStyle w:val="Heading5"/>
        <w:spacing w:line="356" w:lineRule="exact"/>
        <w:ind w:right="762"/>
        <w:jc w:val="right"/>
      </w:pPr>
      <w:r>
        <w:rPr>
          <w:color w:val="231F20"/>
        </w:rPr>
        <w:t>AL 98</w:t>
      </w:r>
    </w:p>
    <w:p>
      <w:pPr>
        <w:pStyle w:val="Heading5"/>
        <w:spacing w:line="216" w:lineRule="auto" w:before="173"/>
        <w:ind w:left="809" w:right="748"/>
      </w:pPr>
      <w:r>
        <w:rPr>
          <w:color w:val="231F20"/>
        </w:rPr>
        <w:t>These ﬂeeting observations on marital love set the standard for anyone wishing to</w:t>
      </w:r>
      <w:r>
        <w:rPr>
          <w:color w:val="231F20"/>
          <w:spacing w:val="-18"/>
        </w:rPr>
        <w:t> </w:t>
      </w:r>
      <w:r>
        <w:rPr>
          <w:color w:val="231F20"/>
        </w:rPr>
        <w:t>learn</w:t>
      </w:r>
      <w:r>
        <w:rPr>
          <w:color w:val="231F20"/>
          <w:spacing w:val="-18"/>
        </w:rPr>
        <w:t> </w:t>
      </w:r>
      <w:r>
        <w:rPr>
          <w:color w:val="231F20"/>
        </w:rPr>
        <w:t>lessons</w:t>
      </w:r>
      <w:r>
        <w:rPr>
          <w:color w:val="231F20"/>
          <w:spacing w:val="-18"/>
        </w:rPr>
        <w:t> </w:t>
      </w:r>
      <w:r>
        <w:rPr>
          <w:color w:val="231F20"/>
        </w:rPr>
        <w:t>in</w:t>
      </w:r>
      <w:r>
        <w:rPr>
          <w:color w:val="231F20"/>
          <w:spacing w:val="-18"/>
        </w:rPr>
        <w:t> </w:t>
      </w:r>
      <w:r>
        <w:rPr>
          <w:color w:val="231F20"/>
          <w:spacing w:val="-3"/>
        </w:rPr>
        <w:t>love.</w:t>
      </w:r>
      <w:r>
        <w:rPr>
          <w:color w:val="231F20"/>
          <w:spacing w:val="-18"/>
        </w:rPr>
        <w:t> </w:t>
      </w:r>
      <w:r>
        <w:rPr>
          <w:color w:val="231F20"/>
        </w:rPr>
        <w:t>There</w:t>
      </w:r>
      <w:r>
        <w:rPr>
          <w:color w:val="231F20"/>
          <w:spacing w:val="-18"/>
        </w:rPr>
        <w:t> </w:t>
      </w:r>
      <w:r>
        <w:rPr>
          <w:color w:val="231F20"/>
        </w:rPr>
        <w:t>is</w:t>
      </w:r>
      <w:r>
        <w:rPr>
          <w:color w:val="231F20"/>
          <w:spacing w:val="-18"/>
        </w:rPr>
        <w:t> </w:t>
      </w:r>
      <w:r>
        <w:rPr>
          <w:color w:val="231F20"/>
        </w:rPr>
        <w:t>a</w:t>
      </w:r>
      <w:r>
        <w:rPr>
          <w:color w:val="231F20"/>
          <w:spacing w:val="-18"/>
        </w:rPr>
        <w:t> </w:t>
      </w:r>
      <w:r>
        <w:rPr>
          <w:color w:val="231F20"/>
        </w:rPr>
        <w:t>lot</w:t>
      </w:r>
      <w:r>
        <w:rPr>
          <w:color w:val="231F20"/>
          <w:spacing w:val="-17"/>
        </w:rPr>
        <w:t> </w:t>
      </w:r>
      <w:r>
        <w:rPr>
          <w:color w:val="231F20"/>
        </w:rPr>
        <w:t>more</w:t>
      </w:r>
      <w:r>
        <w:rPr>
          <w:color w:val="231F20"/>
          <w:spacing w:val="-18"/>
        </w:rPr>
        <w:t> </w:t>
      </w:r>
      <w:r>
        <w:rPr>
          <w:color w:val="231F20"/>
        </w:rPr>
        <w:t>in</w:t>
      </w:r>
      <w:r>
        <w:rPr>
          <w:color w:val="231F20"/>
          <w:spacing w:val="-18"/>
        </w:rPr>
        <w:t> </w:t>
      </w:r>
      <w:r>
        <w:rPr>
          <w:i/>
          <w:color w:val="231F20"/>
        </w:rPr>
        <w:t>Amoris</w:t>
      </w:r>
      <w:r>
        <w:rPr>
          <w:i/>
          <w:color w:val="231F20"/>
          <w:spacing w:val="-18"/>
        </w:rPr>
        <w:t> </w:t>
      </w:r>
      <w:r>
        <w:rPr>
          <w:i/>
          <w:color w:val="231F20"/>
        </w:rPr>
        <w:t>Laetitia</w:t>
      </w:r>
      <w:r>
        <w:rPr>
          <w:i/>
          <w:color w:val="231F20"/>
          <w:spacing w:val="-18"/>
        </w:rPr>
        <w:t> </w:t>
      </w:r>
      <w:r>
        <w:rPr>
          <w:color w:val="231F20"/>
        </w:rPr>
        <w:t>to</w:t>
      </w:r>
      <w:r>
        <w:rPr>
          <w:color w:val="231F20"/>
          <w:spacing w:val="-18"/>
        </w:rPr>
        <w:t> </w:t>
      </w:r>
      <w:r>
        <w:rPr>
          <w:color w:val="231F20"/>
        </w:rPr>
        <w:t>inspire</w:t>
      </w:r>
      <w:r>
        <w:rPr>
          <w:color w:val="231F20"/>
          <w:spacing w:val="-18"/>
        </w:rPr>
        <w:t> </w:t>
      </w:r>
      <w:r>
        <w:rPr>
          <w:color w:val="231F20"/>
        </w:rPr>
        <w:t>and</w:t>
      </w:r>
      <w:r>
        <w:rPr>
          <w:color w:val="231F20"/>
          <w:spacing w:val="-18"/>
        </w:rPr>
        <w:t> </w:t>
      </w:r>
      <w:r>
        <w:rPr>
          <w:color w:val="231F20"/>
        </w:rPr>
        <w:t>support spouses and their families in their lifelong vocation, though nothing ought to distract attention from the importance of forgiveness in any loving relationship. But what of those young people who naturally crave to learn lessons in love yet aren't ready to exercise their vocation to love, whether in marriage or in some other</w:t>
      </w:r>
      <w:r>
        <w:rPr>
          <w:color w:val="231F20"/>
          <w:spacing w:val="-1"/>
        </w:rPr>
        <w:t> </w:t>
      </w:r>
      <w:r>
        <w:rPr>
          <w:color w:val="231F20"/>
        </w:rPr>
        <w:t>way?</w:t>
      </w:r>
    </w:p>
    <w:p>
      <w:pPr>
        <w:spacing w:after="0" w:line="216" w:lineRule="auto"/>
        <w:sectPr>
          <w:type w:val="continuous"/>
          <w:pgSz w:w="11910" w:h="16840"/>
          <w:pgMar w:top="1320" w:bottom="1640" w:left="160" w:right="220"/>
        </w:sectPr>
      </w:pPr>
    </w:p>
    <w:p>
      <w:pPr>
        <w:pStyle w:val="Heading5"/>
        <w:spacing w:line="216" w:lineRule="auto" w:before="109"/>
        <w:ind w:left="720" w:right="838" w:hanging="1"/>
      </w:pPr>
      <w:r>
        <w:rPr>
          <w:color w:val="231F20"/>
        </w:rPr>
        <w:t>Those of us who are older can easily forget how important it once was to feel as though we are lovable, or to experience the almost painfully intense desire to express love for another.</w:t>
      </w:r>
    </w:p>
    <w:p>
      <w:pPr>
        <w:pStyle w:val="BodyText"/>
        <w:spacing w:before="9"/>
        <w:rPr>
          <w:rFonts w:ascii="Palatino Linotype"/>
          <w:sz w:val="25"/>
        </w:rPr>
      </w:pPr>
    </w:p>
    <w:p>
      <w:pPr>
        <w:pStyle w:val="Heading5"/>
        <w:spacing w:line="216" w:lineRule="auto"/>
        <w:ind w:left="720" w:right="838"/>
      </w:pPr>
      <w:r>
        <w:rPr>
          <w:color w:val="231F20"/>
        </w:rPr>
        <w:t>And</w:t>
      </w:r>
      <w:r>
        <w:rPr>
          <w:color w:val="231F20"/>
          <w:spacing w:val="-8"/>
        </w:rPr>
        <w:t> </w:t>
      </w:r>
      <w:r>
        <w:rPr>
          <w:color w:val="231F20"/>
        </w:rPr>
        <w:t>what</w:t>
      </w:r>
      <w:r>
        <w:rPr>
          <w:color w:val="231F20"/>
          <w:spacing w:val="-8"/>
        </w:rPr>
        <w:t> </w:t>
      </w:r>
      <w:r>
        <w:rPr>
          <w:color w:val="231F20"/>
        </w:rPr>
        <w:t>of</w:t>
      </w:r>
      <w:r>
        <w:rPr>
          <w:color w:val="231F20"/>
          <w:spacing w:val="-8"/>
        </w:rPr>
        <w:t> </w:t>
      </w:r>
      <w:r>
        <w:rPr>
          <w:color w:val="231F20"/>
        </w:rPr>
        <w:t>those</w:t>
      </w:r>
      <w:r>
        <w:rPr>
          <w:color w:val="231F20"/>
          <w:spacing w:val="-8"/>
        </w:rPr>
        <w:t> </w:t>
      </w:r>
      <w:r>
        <w:rPr>
          <w:color w:val="231F20"/>
        </w:rPr>
        <w:t>who</w:t>
      </w:r>
      <w:r>
        <w:rPr>
          <w:color w:val="231F20"/>
          <w:spacing w:val="-8"/>
        </w:rPr>
        <w:t> </w:t>
      </w:r>
      <w:r>
        <w:rPr>
          <w:color w:val="231F20"/>
        </w:rPr>
        <w:t>aren't</w:t>
      </w:r>
      <w:r>
        <w:rPr>
          <w:color w:val="231F20"/>
          <w:spacing w:val="-8"/>
        </w:rPr>
        <w:t> </w:t>
      </w:r>
      <w:r>
        <w:rPr>
          <w:color w:val="231F20"/>
        </w:rPr>
        <w:t>called</w:t>
      </w:r>
      <w:r>
        <w:rPr>
          <w:color w:val="231F20"/>
          <w:spacing w:val="-8"/>
        </w:rPr>
        <w:t> </w:t>
      </w:r>
      <w:r>
        <w:rPr>
          <w:color w:val="231F20"/>
        </w:rPr>
        <w:t>to</w:t>
      </w:r>
      <w:r>
        <w:rPr>
          <w:color w:val="231F20"/>
          <w:spacing w:val="-8"/>
        </w:rPr>
        <w:t> </w:t>
      </w:r>
      <w:r>
        <w:rPr>
          <w:color w:val="231F20"/>
        </w:rPr>
        <w:t>marriage?</w:t>
      </w:r>
      <w:r>
        <w:rPr>
          <w:color w:val="231F20"/>
          <w:spacing w:val="-8"/>
        </w:rPr>
        <w:t> </w:t>
      </w:r>
      <w:r>
        <w:rPr>
          <w:color w:val="231F20"/>
          <w:spacing w:val="-10"/>
        </w:rPr>
        <w:t>We</w:t>
      </w:r>
      <w:r>
        <w:rPr>
          <w:color w:val="231F20"/>
          <w:spacing w:val="-8"/>
        </w:rPr>
        <w:t> </w:t>
      </w:r>
      <w:r>
        <w:rPr>
          <w:color w:val="231F20"/>
        </w:rPr>
        <w:t>take</w:t>
      </w:r>
      <w:r>
        <w:rPr>
          <w:color w:val="231F20"/>
          <w:spacing w:val="-8"/>
        </w:rPr>
        <w:t> </w:t>
      </w:r>
      <w:r>
        <w:rPr>
          <w:color w:val="231F20"/>
        </w:rPr>
        <w:t>this</w:t>
      </w:r>
      <w:r>
        <w:rPr>
          <w:color w:val="231F20"/>
          <w:spacing w:val="-8"/>
        </w:rPr>
        <w:t> </w:t>
      </w:r>
      <w:r>
        <w:rPr>
          <w:color w:val="231F20"/>
        </w:rPr>
        <w:t>opportunity</w:t>
      </w:r>
      <w:r>
        <w:rPr>
          <w:color w:val="231F20"/>
          <w:spacing w:val="-8"/>
        </w:rPr>
        <w:t> </w:t>
      </w:r>
      <w:r>
        <w:rPr>
          <w:color w:val="231F20"/>
        </w:rPr>
        <w:t>to</w:t>
      </w:r>
      <w:r>
        <w:rPr>
          <w:color w:val="231F20"/>
          <w:spacing w:val="-8"/>
        </w:rPr>
        <w:t> </w:t>
      </w:r>
      <w:r>
        <w:rPr>
          <w:color w:val="231F20"/>
        </w:rPr>
        <w:t>say that our Catholic schools should always be places where all young people can begin to discern how God is calling them to ﬁnd true happiness.</w:t>
      </w:r>
    </w:p>
    <w:p>
      <w:pPr>
        <w:spacing w:after="0" w:line="216" w:lineRule="auto"/>
        <w:sectPr>
          <w:headerReference w:type="default" r:id="rId134"/>
          <w:footerReference w:type="default" r:id="rId135"/>
          <w:pgSz w:w="11910" w:h="16840"/>
          <w:pgMar w:header="0" w:footer="1030" w:top="1540" w:bottom="1220" w:left="160" w:right="220"/>
          <w:pgNumType w:start="8"/>
        </w:sectPr>
      </w:pPr>
    </w:p>
    <w:p>
      <w:pPr>
        <w:spacing w:line="216" w:lineRule="auto" w:before="220"/>
        <w:ind w:left="812" w:right="-19" w:firstLine="0"/>
        <w:jc w:val="left"/>
        <w:rPr>
          <w:rFonts w:ascii="Palatino Linotype" w:hAnsi="Palatino Linotype"/>
          <w:b/>
          <w:i/>
          <w:sz w:val="48"/>
        </w:rPr>
      </w:pPr>
      <w:r>
        <w:rPr>
          <w:rFonts w:ascii="Palatino Linotype" w:hAnsi="Palatino Linotype"/>
          <w:b/>
          <w:i/>
          <w:color w:val="008790"/>
          <w:sz w:val="48"/>
        </w:rPr>
        <w:t>“... our Catholic </w:t>
      </w:r>
      <w:r>
        <w:rPr>
          <w:rFonts w:ascii="Palatino Linotype" w:hAnsi="Palatino Linotype"/>
          <w:b/>
          <w:i/>
          <w:color w:val="008790"/>
          <w:sz w:val="48"/>
        </w:rPr>
        <w:t>schools should always be places where all young people can begin to discern how God is calling them to ﬁnd true happiness.”</w:t>
      </w:r>
    </w:p>
    <w:p>
      <w:pPr>
        <w:pStyle w:val="Heading5"/>
        <w:spacing w:line="216" w:lineRule="auto" w:before="256"/>
        <w:ind w:left="229" w:right="823"/>
      </w:pPr>
      <w:r>
        <w:rPr/>
        <w:br w:type="column"/>
      </w:r>
      <w:r>
        <w:rPr>
          <w:color w:val="231F20"/>
        </w:rPr>
        <w:t>Just in the </w:t>
      </w:r>
      <w:r>
        <w:rPr>
          <w:color w:val="231F20"/>
          <w:spacing w:val="-3"/>
        </w:rPr>
        <w:t>way </w:t>
      </w:r>
      <w:r>
        <w:rPr>
          <w:color w:val="231F20"/>
        </w:rPr>
        <w:t>that a school provides career advice, so it should ensure that the question of discerning God’s will is one that is raised throughout their time in school.</w:t>
      </w:r>
    </w:p>
    <w:p>
      <w:pPr>
        <w:pStyle w:val="BodyText"/>
        <w:spacing w:before="10"/>
        <w:rPr>
          <w:rFonts w:ascii="Palatino Linotype"/>
          <w:sz w:val="25"/>
        </w:rPr>
      </w:pPr>
    </w:p>
    <w:p>
      <w:pPr>
        <w:pStyle w:val="Heading5"/>
        <w:spacing w:line="216" w:lineRule="auto"/>
        <w:ind w:left="229" w:right="823" w:hanging="1"/>
      </w:pPr>
      <w:r>
        <w:rPr>
          <w:color w:val="231F20"/>
        </w:rPr>
        <w:t>We recognise that there are many whom it seems God doesn't yet call to recreate the Biblical picture of marital love, or will ever call.</w:t>
      </w:r>
    </w:p>
    <w:p>
      <w:pPr>
        <w:pStyle w:val="BodyText"/>
        <w:spacing w:before="10"/>
        <w:rPr>
          <w:rFonts w:ascii="Palatino Linotype"/>
          <w:sz w:val="25"/>
        </w:rPr>
      </w:pPr>
    </w:p>
    <w:p>
      <w:pPr>
        <w:pStyle w:val="Heading5"/>
        <w:spacing w:line="216" w:lineRule="auto"/>
        <w:ind w:left="229" w:right="823"/>
      </w:pPr>
      <w:r>
        <w:rPr>
          <w:color w:val="231F20"/>
        </w:rPr>
        <w:t>And</w:t>
      </w:r>
      <w:r>
        <w:rPr>
          <w:color w:val="231F20"/>
          <w:spacing w:val="-17"/>
        </w:rPr>
        <w:t> </w:t>
      </w:r>
      <w:r>
        <w:rPr>
          <w:color w:val="231F20"/>
        </w:rPr>
        <w:t>what</w:t>
      </w:r>
      <w:r>
        <w:rPr>
          <w:color w:val="231F20"/>
          <w:spacing w:val="-16"/>
        </w:rPr>
        <w:t> </w:t>
      </w:r>
      <w:r>
        <w:rPr>
          <w:color w:val="231F20"/>
        </w:rPr>
        <w:t>of</w:t>
      </w:r>
      <w:r>
        <w:rPr>
          <w:color w:val="231F20"/>
          <w:spacing w:val="-16"/>
        </w:rPr>
        <w:t> </w:t>
      </w:r>
      <w:r>
        <w:rPr>
          <w:color w:val="231F20"/>
        </w:rPr>
        <w:t>those</w:t>
      </w:r>
      <w:r>
        <w:rPr>
          <w:color w:val="231F20"/>
          <w:spacing w:val="-16"/>
        </w:rPr>
        <w:t> </w:t>
      </w:r>
      <w:r>
        <w:rPr>
          <w:color w:val="231F20"/>
        </w:rPr>
        <w:t>who</w:t>
      </w:r>
      <w:r>
        <w:rPr>
          <w:color w:val="231F20"/>
          <w:spacing w:val="-16"/>
        </w:rPr>
        <w:t> </w:t>
      </w:r>
      <w:r>
        <w:rPr>
          <w:color w:val="231F20"/>
        </w:rPr>
        <w:t>have</w:t>
      </w:r>
      <w:r>
        <w:rPr>
          <w:color w:val="231F20"/>
          <w:spacing w:val="-16"/>
        </w:rPr>
        <w:t> </w:t>
      </w:r>
      <w:r>
        <w:rPr>
          <w:color w:val="231F20"/>
        </w:rPr>
        <w:t>more</w:t>
      </w:r>
      <w:r>
        <w:rPr>
          <w:color w:val="231F20"/>
          <w:spacing w:val="-16"/>
        </w:rPr>
        <w:t> </w:t>
      </w:r>
      <w:r>
        <w:rPr>
          <w:color w:val="231F20"/>
        </w:rPr>
        <w:t>profound </w:t>
      </w:r>
      <w:r>
        <w:rPr>
          <w:color w:val="231F20"/>
          <w:spacing w:val="-3"/>
        </w:rPr>
        <w:t>misgivings about </w:t>
      </w:r>
      <w:r>
        <w:rPr>
          <w:color w:val="231F20"/>
        </w:rPr>
        <w:t>the</w:t>
      </w:r>
      <w:r>
        <w:rPr>
          <w:color w:val="231F20"/>
          <w:spacing w:val="-51"/>
        </w:rPr>
        <w:t> </w:t>
      </w:r>
      <w:r>
        <w:rPr>
          <w:color w:val="231F20"/>
          <w:spacing w:val="-3"/>
        </w:rPr>
        <w:t>gender they </w:t>
      </w:r>
      <w:r>
        <w:rPr>
          <w:color w:val="231F20"/>
          <w:spacing w:val="-4"/>
        </w:rPr>
        <w:t>were given </w:t>
      </w:r>
      <w:r>
        <w:rPr>
          <w:color w:val="231F20"/>
        </w:rPr>
        <w:t>at</w:t>
      </w:r>
      <w:r>
        <w:rPr>
          <w:color w:val="231F20"/>
          <w:spacing w:val="-14"/>
        </w:rPr>
        <w:t> </w:t>
      </w:r>
      <w:r>
        <w:rPr>
          <w:color w:val="231F20"/>
          <w:spacing w:val="-3"/>
        </w:rPr>
        <w:t>birth,</w:t>
      </w:r>
      <w:r>
        <w:rPr>
          <w:color w:val="231F20"/>
          <w:spacing w:val="-13"/>
        </w:rPr>
        <w:t> </w:t>
      </w:r>
      <w:r>
        <w:rPr>
          <w:color w:val="231F20"/>
        </w:rPr>
        <w:t>and</w:t>
      </w:r>
      <w:r>
        <w:rPr>
          <w:color w:val="231F20"/>
          <w:spacing w:val="-13"/>
        </w:rPr>
        <w:t> </w:t>
      </w:r>
      <w:r>
        <w:rPr>
          <w:color w:val="231F20"/>
        </w:rPr>
        <w:t>who</w:t>
      </w:r>
      <w:r>
        <w:rPr>
          <w:color w:val="231F20"/>
          <w:spacing w:val="-13"/>
        </w:rPr>
        <w:t> </w:t>
      </w:r>
      <w:r>
        <w:rPr>
          <w:color w:val="231F20"/>
          <w:spacing w:val="-3"/>
        </w:rPr>
        <w:t>wish</w:t>
      </w:r>
      <w:r>
        <w:rPr>
          <w:color w:val="231F20"/>
          <w:spacing w:val="-13"/>
        </w:rPr>
        <w:t> </w:t>
      </w:r>
      <w:r>
        <w:rPr>
          <w:color w:val="231F20"/>
        </w:rPr>
        <w:t>to</w:t>
      </w:r>
      <w:r>
        <w:rPr>
          <w:color w:val="231F20"/>
          <w:spacing w:val="-13"/>
        </w:rPr>
        <w:t> </w:t>
      </w:r>
      <w:r>
        <w:rPr>
          <w:color w:val="231F20"/>
          <w:spacing w:val="-3"/>
        </w:rPr>
        <w:t>identify</w:t>
      </w:r>
      <w:r>
        <w:rPr>
          <w:color w:val="231F20"/>
          <w:spacing w:val="-13"/>
        </w:rPr>
        <w:t> </w:t>
      </w:r>
      <w:r>
        <w:rPr>
          <w:color w:val="231F20"/>
          <w:spacing w:val="-4"/>
        </w:rPr>
        <w:t>themselves </w:t>
      </w:r>
      <w:r>
        <w:rPr>
          <w:color w:val="231F20"/>
        </w:rPr>
        <w:t>diﬀerently than their body suggests?</w:t>
      </w:r>
    </w:p>
    <w:p>
      <w:pPr>
        <w:spacing w:after="0" w:line="216" w:lineRule="auto"/>
        <w:sectPr>
          <w:type w:val="continuous"/>
          <w:pgSz w:w="11910" w:h="16840"/>
          <w:pgMar w:top="1320" w:bottom="1640" w:left="160" w:right="220"/>
          <w:cols w:num="2" w:equalWidth="0">
            <w:col w:w="4987" w:space="40"/>
            <w:col w:w="6503"/>
          </w:cols>
        </w:sectPr>
      </w:pPr>
    </w:p>
    <w:p>
      <w:pPr>
        <w:pStyle w:val="Heading5"/>
        <w:spacing w:line="216" w:lineRule="auto" w:before="139"/>
        <w:ind w:left="790" w:right="768" w:hanging="1"/>
      </w:pPr>
      <w:r>
        <w:rPr>
          <w:color w:val="231F20"/>
        </w:rPr>
        <w:t>The Church warns against a tendency to deny the sexual diﬀerence with which we were created, when we try to replace it with the idea that somehow our personal identity has only a casual reference to the bodies into which we were born:</w:t>
      </w:r>
    </w:p>
    <w:p>
      <w:pPr>
        <w:pStyle w:val="Heading6"/>
        <w:spacing w:line="216" w:lineRule="auto" w:before="68"/>
        <w:ind w:left="1358" w:right="782" w:firstLine="112"/>
      </w:pPr>
      <w:r>
        <w:rPr>
          <w:i/>
          <w:color w:val="231F20"/>
        </w:rPr>
        <w:t>It is one thing to be understanding of human weakness and the complexities</w:t>
      </w:r>
      <w:r>
        <w:rPr>
          <w:i/>
          <w:color w:val="231F20"/>
          <w:spacing w:val="-1"/>
        </w:rPr>
        <w:t> </w:t>
      </w:r>
      <w:r>
        <w:rPr>
          <w:i/>
          <w:color w:val="231F20"/>
        </w:rPr>
        <w:t>of </w:t>
      </w:r>
      <w:r>
        <w:rPr>
          <w:i/>
          <w:color w:val="231F20"/>
          <w:spacing w:val="-4"/>
        </w:rPr>
        <w:t>life,</w:t>
      </w:r>
      <w:r>
        <w:rPr>
          <w:color w:val="231F20"/>
        </w:rPr>
        <w:t> and another to accept ideologies that attempt to sunder what are inseparable</w:t>
      </w:r>
      <w:r>
        <w:rPr>
          <w:color w:val="231F20"/>
          <w:spacing w:val="-13"/>
        </w:rPr>
        <w:t> </w:t>
      </w:r>
      <w:r>
        <w:rPr>
          <w:color w:val="231F20"/>
          <w:spacing w:val="-3"/>
        </w:rPr>
        <w:t>aspects</w:t>
      </w:r>
    </w:p>
    <w:p>
      <w:pPr>
        <w:pStyle w:val="Heading6"/>
        <w:spacing w:line="216" w:lineRule="auto" w:before="3"/>
        <w:ind w:left="4225" w:right="782" w:firstLine="5441"/>
      </w:pPr>
      <w:r>
        <w:rPr>
          <w:i/>
          <w:color w:val="231F20"/>
        </w:rPr>
        <w:t>of</w:t>
      </w:r>
      <w:r>
        <w:rPr>
          <w:i/>
          <w:color w:val="231F20"/>
          <w:spacing w:val="-16"/>
        </w:rPr>
        <w:t> </w:t>
      </w:r>
      <w:r>
        <w:rPr>
          <w:i/>
          <w:color w:val="231F20"/>
        </w:rPr>
        <w:t>reality.</w:t>
      </w:r>
      <w:r>
        <w:rPr>
          <w:color w:val="231F20"/>
        </w:rPr>
        <w:t> Let us not fall into the sin of trying to replace the</w:t>
      </w:r>
      <w:r>
        <w:rPr>
          <w:color w:val="231F20"/>
          <w:spacing w:val="-17"/>
        </w:rPr>
        <w:t> </w:t>
      </w:r>
      <w:r>
        <w:rPr>
          <w:color w:val="231F20"/>
        </w:rPr>
        <w:t>Creator.</w:t>
      </w:r>
    </w:p>
    <w:p>
      <w:pPr>
        <w:pStyle w:val="Heading6"/>
        <w:spacing w:line="333" w:lineRule="exact"/>
        <w:ind w:right="782"/>
        <w:rPr>
          <w:i/>
        </w:rPr>
      </w:pPr>
      <w:r>
        <w:rPr>
          <w:i/>
          <w:color w:val="231F20"/>
          <w:spacing w:val="-10"/>
        </w:rPr>
        <w:t>We </w:t>
      </w:r>
      <w:r>
        <w:rPr>
          <w:i/>
          <w:color w:val="231F20"/>
        </w:rPr>
        <w:t>are creatures, and not omnipotent. Creation is prior to us and must be</w:t>
      </w:r>
      <w:r>
        <w:rPr>
          <w:i/>
          <w:color w:val="231F20"/>
          <w:spacing w:val="-9"/>
        </w:rPr>
        <w:t> </w:t>
      </w:r>
      <w:r>
        <w:rPr>
          <w:i/>
          <w:color w:val="231F20"/>
        </w:rPr>
        <w:t>received</w:t>
      </w:r>
    </w:p>
    <w:p>
      <w:pPr>
        <w:pStyle w:val="Heading6"/>
        <w:spacing w:line="216" w:lineRule="auto" w:before="11"/>
        <w:ind w:left="1429" w:right="782" w:firstLine="8354"/>
      </w:pPr>
      <w:r>
        <w:rPr>
          <w:i/>
          <w:color w:val="231F20"/>
        </w:rPr>
        <w:t>as</w:t>
      </w:r>
      <w:r>
        <w:rPr>
          <w:i/>
          <w:color w:val="231F20"/>
          <w:spacing w:val="2"/>
        </w:rPr>
        <w:t> </w:t>
      </w:r>
      <w:r>
        <w:rPr>
          <w:i/>
          <w:color w:val="231F20"/>
        </w:rPr>
        <w:t>a</w:t>
      </w:r>
      <w:r>
        <w:rPr>
          <w:i/>
          <w:color w:val="231F20"/>
          <w:spacing w:val="2"/>
        </w:rPr>
        <w:t> </w:t>
      </w:r>
      <w:r>
        <w:rPr>
          <w:i/>
          <w:color w:val="231F20"/>
          <w:spacing w:val="-4"/>
        </w:rPr>
        <w:t>gift.</w:t>
      </w:r>
      <w:r>
        <w:rPr>
          <w:color w:val="231F20"/>
        </w:rPr>
        <w:t> </w:t>
      </w:r>
      <w:r>
        <w:rPr>
          <w:color w:val="231F20"/>
          <w:spacing w:val="-10"/>
        </w:rPr>
        <w:t>At </w:t>
      </w:r>
      <w:r>
        <w:rPr>
          <w:color w:val="231F20"/>
        </w:rPr>
        <w:t>the same time </w:t>
      </w:r>
      <w:r>
        <w:rPr>
          <w:color w:val="231F20"/>
          <w:spacing w:val="-3"/>
        </w:rPr>
        <w:t>we </w:t>
      </w:r>
      <w:r>
        <w:rPr>
          <w:color w:val="231F20"/>
        </w:rPr>
        <w:t>are called to protect our humanity, and this means, in the</w:t>
      </w:r>
      <w:r>
        <w:rPr>
          <w:color w:val="231F20"/>
          <w:spacing w:val="4"/>
        </w:rPr>
        <w:t> </w:t>
      </w:r>
      <w:r>
        <w:rPr>
          <w:color w:val="231F20"/>
        </w:rPr>
        <w:t>ﬁrst</w:t>
      </w:r>
    </w:p>
    <w:p>
      <w:pPr>
        <w:pStyle w:val="Heading6"/>
        <w:spacing w:line="333" w:lineRule="exact"/>
        <w:ind w:right="782"/>
        <w:rPr>
          <w:i/>
        </w:rPr>
      </w:pPr>
      <w:r>
        <w:rPr>
          <w:i/>
          <w:color w:val="231F20"/>
        </w:rPr>
        <w:t>place, accepting it and respecting it as it </w:t>
      </w:r>
      <w:r>
        <w:rPr>
          <w:i/>
          <w:color w:val="231F20"/>
          <w:spacing w:val="-3"/>
        </w:rPr>
        <w:t>was</w:t>
      </w:r>
      <w:r>
        <w:rPr>
          <w:i/>
          <w:color w:val="231F20"/>
          <w:spacing w:val="-10"/>
        </w:rPr>
        <w:t> </w:t>
      </w:r>
      <w:r>
        <w:rPr>
          <w:i/>
          <w:color w:val="231F20"/>
        </w:rPr>
        <w:t>created.</w:t>
      </w:r>
    </w:p>
    <w:p>
      <w:pPr>
        <w:pStyle w:val="Heading5"/>
        <w:spacing w:line="360" w:lineRule="exact"/>
        <w:ind w:right="782"/>
        <w:jc w:val="right"/>
      </w:pPr>
      <w:r>
        <w:rPr>
          <w:color w:val="231F20"/>
        </w:rPr>
        <w:t>AL 56</w:t>
      </w:r>
    </w:p>
    <w:p>
      <w:pPr>
        <w:pStyle w:val="Heading5"/>
        <w:spacing w:line="216" w:lineRule="auto" w:before="43"/>
        <w:ind w:left="820" w:right="738"/>
      </w:pPr>
      <w:r>
        <w:rPr>
          <w:color w:val="231F20"/>
        </w:rPr>
        <w:t>Human beings are not just souls or spirits or intellects. </w:t>
      </w:r>
      <w:r>
        <w:rPr>
          <w:color w:val="231F20"/>
          <w:spacing w:val="-9"/>
        </w:rPr>
        <w:t>We </w:t>
      </w:r>
      <w:r>
        <w:rPr>
          <w:color w:val="231F20"/>
        </w:rPr>
        <w:t>are also bodies! </w:t>
      </w:r>
      <w:r>
        <w:rPr>
          <w:color w:val="231F20"/>
          <w:spacing w:val="-9"/>
        </w:rPr>
        <w:t>We </w:t>
      </w:r>
      <w:r>
        <w:rPr>
          <w:color w:val="231F20"/>
        </w:rPr>
        <w:t>have one nature, a human nature that is both material and spiritual. Our </w:t>
      </w:r>
      <w:r>
        <w:rPr>
          <w:color w:val="231F20"/>
          <w:spacing w:val="-4"/>
        </w:rPr>
        <w:t>bodies</w:t>
      </w:r>
      <w:r>
        <w:rPr>
          <w:color w:val="231F20"/>
          <w:spacing w:val="62"/>
        </w:rPr>
        <w:t> </w:t>
      </w:r>
      <w:r>
        <w:rPr>
          <w:color w:val="231F20"/>
        </w:rPr>
        <w:t>grow</w:t>
      </w:r>
      <w:r>
        <w:rPr>
          <w:color w:val="231F20"/>
          <w:spacing w:val="-9"/>
        </w:rPr>
        <w:t> </w:t>
      </w:r>
      <w:r>
        <w:rPr>
          <w:color w:val="231F20"/>
        </w:rPr>
        <w:t>from</w:t>
      </w:r>
      <w:r>
        <w:rPr>
          <w:color w:val="231F20"/>
          <w:spacing w:val="-8"/>
        </w:rPr>
        <w:t> </w:t>
      </w:r>
      <w:r>
        <w:rPr>
          <w:color w:val="231F20"/>
        </w:rPr>
        <w:t>being</w:t>
      </w:r>
      <w:r>
        <w:rPr>
          <w:color w:val="231F20"/>
          <w:spacing w:val="-8"/>
        </w:rPr>
        <w:t> </w:t>
      </w:r>
      <w:r>
        <w:rPr>
          <w:color w:val="231F20"/>
        </w:rPr>
        <w:t>an</w:t>
      </w:r>
      <w:r>
        <w:rPr>
          <w:color w:val="231F20"/>
          <w:spacing w:val="-8"/>
        </w:rPr>
        <w:t> </w:t>
      </w:r>
      <w:r>
        <w:rPr>
          <w:color w:val="231F20"/>
        </w:rPr>
        <w:t>embryo</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womb,</w:t>
      </w:r>
      <w:r>
        <w:rPr>
          <w:color w:val="231F20"/>
          <w:spacing w:val="-8"/>
        </w:rPr>
        <w:t> </w:t>
      </w:r>
      <w:r>
        <w:rPr>
          <w:color w:val="231F20"/>
        </w:rPr>
        <w:t>through</w:t>
      </w:r>
      <w:r>
        <w:rPr>
          <w:color w:val="231F20"/>
          <w:spacing w:val="-8"/>
        </w:rPr>
        <w:t> </w:t>
      </w:r>
      <w:r>
        <w:rPr>
          <w:color w:val="231F20"/>
        </w:rPr>
        <w:t>childhood</w:t>
      </w:r>
      <w:r>
        <w:rPr>
          <w:color w:val="231F20"/>
          <w:spacing w:val="-8"/>
        </w:rPr>
        <w:t> </w:t>
      </w:r>
      <w:r>
        <w:rPr>
          <w:color w:val="231F20"/>
        </w:rPr>
        <w:t>into</w:t>
      </w:r>
      <w:r>
        <w:rPr>
          <w:color w:val="231F20"/>
          <w:spacing w:val="-9"/>
        </w:rPr>
        <w:t> </w:t>
      </w:r>
      <w:r>
        <w:rPr>
          <w:color w:val="231F20"/>
        </w:rPr>
        <w:t>adulthood</w:t>
      </w:r>
      <w:r>
        <w:rPr>
          <w:color w:val="231F20"/>
          <w:spacing w:val="-8"/>
        </w:rPr>
        <w:t> </w:t>
      </w:r>
      <w:r>
        <w:rPr>
          <w:color w:val="231F20"/>
          <w:spacing w:val="-4"/>
        </w:rPr>
        <w:t>and </w:t>
      </w:r>
      <w:r>
        <w:rPr>
          <w:color w:val="231F20"/>
        </w:rPr>
        <w:t>old age. Our bodies change beyond all</w:t>
      </w:r>
      <w:r>
        <w:rPr>
          <w:color w:val="231F20"/>
          <w:spacing w:val="-3"/>
        </w:rPr>
        <w:t> </w:t>
      </w:r>
      <w:r>
        <w:rPr>
          <w:color w:val="231F20"/>
        </w:rPr>
        <w:t>recognition.</w:t>
      </w:r>
    </w:p>
    <w:p>
      <w:pPr>
        <w:spacing w:after="0" w:line="216" w:lineRule="auto"/>
        <w:sectPr>
          <w:type w:val="continuous"/>
          <w:pgSz w:w="11910" w:h="16840"/>
          <w:pgMar w:top="1320" w:bottom="1640" w:left="160" w:right="220"/>
        </w:sectPr>
      </w:pPr>
    </w:p>
    <w:p>
      <w:pPr>
        <w:pStyle w:val="Heading5"/>
        <w:spacing w:line="216" w:lineRule="auto" w:before="105"/>
        <w:ind w:left="717" w:right="841"/>
      </w:pPr>
      <w:r>
        <w:rPr>
          <w:color w:val="231F20"/>
        </w:rPr>
        <w:t>They are indeed ﬂawed, because they are not designed to last, but we need to accept these limitations and weaknesses as part of God's plan, as we journey towards the home that has been prepared for us:</w:t>
      </w:r>
    </w:p>
    <w:p>
      <w:pPr>
        <w:pStyle w:val="Heading6"/>
        <w:spacing w:line="216" w:lineRule="auto" w:before="172"/>
        <w:ind w:left="1185" w:right="798" w:firstLine="578"/>
      </w:pPr>
      <w:r>
        <w:rPr>
          <w:i/>
          <w:color w:val="231F20"/>
          <w:spacing w:val="-10"/>
        </w:rPr>
        <w:t>We </w:t>
      </w:r>
      <w:r>
        <w:rPr>
          <w:i/>
          <w:color w:val="231F20"/>
        </w:rPr>
        <w:t>know that if the earthly tent </w:t>
      </w:r>
      <w:r>
        <w:rPr>
          <w:i/>
          <w:color w:val="231F20"/>
          <w:spacing w:val="-3"/>
        </w:rPr>
        <w:t>we </w:t>
      </w:r>
      <w:r>
        <w:rPr>
          <w:i/>
          <w:color w:val="231F20"/>
        </w:rPr>
        <w:t>live in is destroyed, </w:t>
      </w:r>
      <w:r>
        <w:rPr>
          <w:i/>
          <w:color w:val="231F20"/>
          <w:spacing w:val="-3"/>
        </w:rPr>
        <w:t>we </w:t>
      </w:r>
      <w:r>
        <w:rPr>
          <w:i/>
          <w:color w:val="231F20"/>
        </w:rPr>
        <w:t>have a</w:t>
      </w:r>
      <w:r>
        <w:rPr>
          <w:i/>
          <w:color w:val="231F20"/>
          <w:spacing w:val="5"/>
        </w:rPr>
        <w:t> </w:t>
      </w:r>
      <w:r>
        <w:rPr>
          <w:i/>
          <w:color w:val="231F20"/>
        </w:rPr>
        <w:t>building</w:t>
      </w:r>
      <w:r>
        <w:rPr>
          <w:i/>
          <w:color w:val="231F20"/>
          <w:spacing w:val="-1"/>
        </w:rPr>
        <w:t> </w:t>
      </w:r>
      <w:r>
        <w:rPr>
          <w:i/>
          <w:color w:val="231F20"/>
          <w:spacing w:val="-4"/>
        </w:rPr>
        <w:t>from</w:t>
      </w:r>
      <w:r>
        <w:rPr>
          <w:color w:val="231F20"/>
        </w:rPr>
        <w:t> God, a house not made with hands, eternal in the heavens. For in this tent</w:t>
      </w:r>
      <w:r>
        <w:rPr>
          <w:color w:val="231F20"/>
          <w:spacing w:val="-4"/>
        </w:rPr>
        <w:t> </w:t>
      </w:r>
      <w:r>
        <w:rPr>
          <w:color w:val="231F20"/>
          <w:spacing w:val="-3"/>
        </w:rPr>
        <w:t>we</w:t>
      </w:r>
      <w:r>
        <w:rPr>
          <w:color w:val="231F20"/>
        </w:rPr>
        <w:t> groan, longing to be clothed with our heavenly dwelling— if indeed, when </w:t>
      </w:r>
      <w:r>
        <w:rPr>
          <w:color w:val="231F20"/>
          <w:spacing w:val="-3"/>
        </w:rPr>
        <w:t>we </w:t>
      </w:r>
      <w:r>
        <w:rPr>
          <w:color w:val="231F20"/>
        </w:rPr>
        <w:t>have</w:t>
      </w:r>
      <w:r>
        <w:rPr>
          <w:color w:val="231F20"/>
          <w:spacing w:val="-10"/>
        </w:rPr>
        <w:t> </w:t>
      </w:r>
      <w:r>
        <w:rPr>
          <w:color w:val="231F20"/>
        </w:rPr>
        <w:t>taken</w:t>
      </w:r>
      <w:r>
        <w:rPr>
          <w:color w:val="231F20"/>
          <w:spacing w:val="-1"/>
        </w:rPr>
        <w:t> </w:t>
      </w:r>
      <w:r>
        <w:rPr>
          <w:color w:val="231F20"/>
        </w:rPr>
        <w:t>it oﬀ </w:t>
      </w:r>
      <w:r>
        <w:rPr>
          <w:color w:val="231F20"/>
          <w:spacing w:val="-3"/>
        </w:rPr>
        <w:t>we </w:t>
      </w:r>
      <w:r>
        <w:rPr>
          <w:color w:val="231F20"/>
        </w:rPr>
        <w:t>will not be found naked. For while </w:t>
      </w:r>
      <w:r>
        <w:rPr>
          <w:color w:val="231F20"/>
          <w:spacing w:val="-3"/>
        </w:rPr>
        <w:t>we </w:t>
      </w:r>
      <w:r>
        <w:rPr>
          <w:color w:val="231F20"/>
        </w:rPr>
        <w:t>are still in this tent, </w:t>
      </w:r>
      <w:r>
        <w:rPr>
          <w:color w:val="231F20"/>
          <w:spacing w:val="-3"/>
        </w:rPr>
        <w:t>we </w:t>
      </w:r>
      <w:r>
        <w:rPr>
          <w:color w:val="231F20"/>
        </w:rPr>
        <w:t>groan</w:t>
      </w:r>
      <w:r>
        <w:rPr>
          <w:color w:val="231F20"/>
          <w:spacing w:val="13"/>
        </w:rPr>
        <w:t> </w:t>
      </w:r>
      <w:r>
        <w:rPr>
          <w:color w:val="231F20"/>
        </w:rPr>
        <w:t>under </w:t>
      </w:r>
      <w:r>
        <w:rPr>
          <w:color w:val="231F20"/>
          <w:spacing w:val="-6"/>
        </w:rPr>
        <w:t>our</w:t>
      </w:r>
      <w:r>
        <w:rPr>
          <w:color w:val="231F20"/>
        </w:rPr>
        <w:t> burden, because </w:t>
      </w:r>
      <w:r>
        <w:rPr>
          <w:color w:val="231F20"/>
          <w:spacing w:val="-3"/>
        </w:rPr>
        <w:t>we </w:t>
      </w:r>
      <w:r>
        <w:rPr>
          <w:color w:val="231F20"/>
        </w:rPr>
        <w:t>wish not to be unclothed but to be further clothed, so that</w:t>
      </w:r>
      <w:r>
        <w:rPr>
          <w:color w:val="231F20"/>
          <w:spacing w:val="4"/>
        </w:rPr>
        <w:t> </w:t>
      </w:r>
      <w:r>
        <w:rPr>
          <w:color w:val="231F20"/>
        </w:rPr>
        <w:t>what</w:t>
      </w:r>
    </w:p>
    <w:p>
      <w:pPr>
        <w:pStyle w:val="Heading6"/>
        <w:spacing w:line="337" w:lineRule="exact"/>
        <w:ind w:right="798"/>
        <w:rPr>
          <w:i/>
        </w:rPr>
      </w:pPr>
      <w:r>
        <w:rPr>
          <w:i/>
          <w:color w:val="231F20"/>
        </w:rPr>
        <w:t>is mortal may be swallowed up by</w:t>
      </w:r>
      <w:r>
        <w:rPr>
          <w:i/>
          <w:color w:val="231F20"/>
          <w:spacing w:val="-13"/>
        </w:rPr>
        <w:t> </w:t>
      </w:r>
      <w:r>
        <w:rPr>
          <w:i/>
          <w:color w:val="231F20"/>
        </w:rPr>
        <w:t>life.</w:t>
      </w:r>
    </w:p>
    <w:p>
      <w:pPr>
        <w:pStyle w:val="Heading5"/>
        <w:spacing w:line="277" w:lineRule="exact"/>
        <w:ind w:right="798"/>
        <w:jc w:val="right"/>
      </w:pPr>
      <w:r>
        <w:rPr>
          <w:color w:val="231F20"/>
        </w:rPr>
        <w:t>2 Corinthians 5:1-4</w:t>
      </w:r>
    </w:p>
    <w:p>
      <w:pPr>
        <w:spacing w:after="0" w:line="277" w:lineRule="exact"/>
        <w:jc w:val="right"/>
        <w:sectPr>
          <w:headerReference w:type="default" r:id="rId136"/>
          <w:footerReference w:type="default" r:id="rId137"/>
          <w:pgSz w:w="11910" w:h="16840"/>
          <w:pgMar w:header="0" w:footer="1030" w:top="1420" w:bottom="1220" w:left="160" w:right="220"/>
          <w:pgNumType w:start="9"/>
        </w:sectPr>
      </w:pPr>
    </w:p>
    <w:p>
      <w:pPr>
        <w:pStyle w:val="Heading5"/>
        <w:spacing w:line="216" w:lineRule="auto" w:before="29"/>
        <w:ind w:left="790"/>
      </w:pPr>
      <w:r>
        <w:rPr>
          <w:color w:val="231F20"/>
        </w:rPr>
        <w:t>Let us acknowledge that as well as living in ‘incomplete’ bodies, we all share in having identity ‘ﬂaws’. All of us are dependent and vulnerable, and all of us are bound to look outside of ourselves to ﬁnd completion.</w:t>
      </w:r>
    </w:p>
    <w:p>
      <w:pPr>
        <w:pStyle w:val="BodyText"/>
        <w:spacing w:before="13"/>
        <w:rPr>
          <w:rFonts w:ascii="Palatino Linotype"/>
          <w:sz w:val="25"/>
        </w:rPr>
      </w:pPr>
    </w:p>
    <w:p>
      <w:pPr>
        <w:pStyle w:val="Heading5"/>
        <w:spacing w:line="216" w:lineRule="auto"/>
        <w:ind w:left="790"/>
      </w:pPr>
      <w:r>
        <w:rPr>
          <w:color w:val="231F20"/>
        </w:rPr>
        <w:t>This</w:t>
      </w:r>
      <w:r>
        <w:rPr>
          <w:color w:val="231F20"/>
          <w:spacing w:val="-10"/>
        </w:rPr>
        <w:t> </w:t>
      </w:r>
      <w:r>
        <w:rPr>
          <w:color w:val="231F20"/>
        </w:rPr>
        <w:t>insight</w:t>
      </w:r>
      <w:r>
        <w:rPr>
          <w:color w:val="231F20"/>
          <w:spacing w:val="-9"/>
        </w:rPr>
        <w:t> </w:t>
      </w:r>
      <w:r>
        <w:rPr>
          <w:color w:val="231F20"/>
        </w:rPr>
        <w:t>ought</w:t>
      </w:r>
      <w:r>
        <w:rPr>
          <w:color w:val="231F20"/>
          <w:spacing w:val="-9"/>
        </w:rPr>
        <w:t> </w:t>
      </w:r>
      <w:r>
        <w:rPr>
          <w:color w:val="231F20"/>
        </w:rPr>
        <w:t>to</w:t>
      </w:r>
      <w:r>
        <w:rPr>
          <w:color w:val="231F20"/>
          <w:spacing w:val="-9"/>
        </w:rPr>
        <w:t> </w:t>
      </w:r>
      <w:r>
        <w:rPr>
          <w:color w:val="231F20"/>
        </w:rPr>
        <w:t>inform</w:t>
      </w:r>
      <w:r>
        <w:rPr>
          <w:color w:val="231F20"/>
          <w:spacing w:val="-9"/>
        </w:rPr>
        <w:t> </w:t>
      </w:r>
      <w:r>
        <w:rPr>
          <w:color w:val="231F20"/>
        </w:rPr>
        <w:t>the</w:t>
      </w:r>
      <w:r>
        <w:rPr>
          <w:color w:val="231F20"/>
          <w:spacing w:val="-9"/>
        </w:rPr>
        <w:t> </w:t>
      </w:r>
      <w:r>
        <w:rPr>
          <w:color w:val="231F20"/>
        </w:rPr>
        <w:t>character of</w:t>
      </w:r>
      <w:r>
        <w:rPr>
          <w:color w:val="231F20"/>
          <w:spacing w:val="-22"/>
        </w:rPr>
        <w:t> </w:t>
      </w:r>
      <w:r>
        <w:rPr>
          <w:color w:val="231F20"/>
        </w:rPr>
        <w:t>Catholic</w:t>
      </w:r>
      <w:r>
        <w:rPr>
          <w:color w:val="231F20"/>
          <w:spacing w:val="-22"/>
        </w:rPr>
        <w:t> </w:t>
      </w:r>
      <w:r>
        <w:rPr>
          <w:color w:val="231F20"/>
        </w:rPr>
        <w:t>education.</w:t>
      </w:r>
      <w:r>
        <w:rPr>
          <w:color w:val="231F20"/>
          <w:spacing w:val="-21"/>
        </w:rPr>
        <w:t> </w:t>
      </w:r>
      <w:r>
        <w:rPr>
          <w:color w:val="231F20"/>
        </w:rPr>
        <w:t>Our</w:t>
      </w:r>
      <w:r>
        <w:rPr>
          <w:color w:val="231F20"/>
          <w:spacing w:val="-22"/>
        </w:rPr>
        <w:t> </w:t>
      </w:r>
      <w:r>
        <w:rPr>
          <w:color w:val="231F20"/>
        </w:rPr>
        <w:t>schools</w:t>
      </w:r>
      <w:r>
        <w:rPr>
          <w:color w:val="231F20"/>
          <w:spacing w:val="-22"/>
        </w:rPr>
        <w:t> </w:t>
      </w:r>
      <w:r>
        <w:rPr>
          <w:color w:val="231F20"/>
        </w:rPr>
        <w:t>need</w:t>
      </w:r>
      <w:r>
        <w:rPr>
          <w:color w:val="231F20"/>
          <w:spacing w:val="-21"/>
        </w:rPr>
        <w:t> </w:t>
      </w:r>
      <w:r>
        <w:rPr>
          <w:color w:val="231F20"/>
          <w:spacing w:val="-8"/>
        </w:rPr>
        <w:t>to </w:t>
      </w:r>
      <w:r>
        <w:rPr>
          <w:color w:val="231F20"/>
        </w:rPr>
        <w:t>be places where everyone feels valued</w:t>
      </w:r>
      <w:r>
        <w:rPr>
          <w:color w:val="231F20"/>
          <w:spacing w:val="-40"/>
        </w:rPr>
        <w:t> </w:t>
      </w:r>
      <w:r>
        <w:rPr>
          <w:color w:val="231F20"/>
          <w:spacing w:val="-7"/>
        </w:rPr>
        <w:t>for </w:t>
      </w:r>
      <w:r>
        <w:rPr>
          <w:color w:val="231F20"/>
        </w:rPr>
        <w:t>their innate dignity, even if young</w:t>
      </w:r>
      <w:r>
        <w:rPr>
          <w:color w:val="231F20"/>
          <w:spacing w:val="-20"/>
        </w:rPr>
        <w:t> </w:t>
      </w:r>
      <w:r>
        <w:rPr>
          <w:color w:val="231F20"/>
          <w:spacing w:val="-3"/>
        </w:rPr>
        <w:t>people </w:t>
      </w:r>
      <w:r>
        <w:rPr>
          <w:color w:val="231F20"/>
        </w:rPr>
        <w:t>are struggling to ﬁnd</w:t>
      </w:r>
      <w:r>
        <w:rPr>
          <w:color w:val="231F20"/>
          <w:spacing w:val="-2"/>
        </w:rPr>
        <w:t> </w:t>
      </w:r>
      <w:r>
        <w:rPr>
          <w:color w:val="231F20"/>
        </w:rPr>
        <w:t>themselves.</w:t>
      </w:r>
    </w:p>
    <w:p>
      <w:pPr>
        <w:spacing w:line="216" w:lineRule="auto" w:before="74"/>
        <w:ind w:left="130" w:right="790" w:firstLine="139"/>
        <w:jc w:val="right"/>
        <w:rPr>
          <w:rFonts w:ascii="Palatino Linotype" w:hAnsi="Palatino Linotype"/>
          <w:b/>
          <w:i/>
          <w:sz w:val="48"/>
        </w:rPr>
      </w:pPr>
      <w:r>
        <w:rPr/>
        <w:br w:type="column"/>
      </w:r>
      <w:r>
        <w:rPr>
          <w:rFonts w:ascii="Palatino Linotype" w:hAnsi="Palatino Linotype"/>
          <w:b/>
          <w:i/>
          <w:color w:val="008790"/>
          <w:sz w:val="48"/>
        </w:rPr>
        <w:t>“Our schools need to</w:t>
      </w:r>
      <w:r>
        <w:rPr>
          <w:rFonts w:ascii="Palatino Linotype" w:hAnsi="Palatino Linotype"/>
          <w:b/>
          <w:i/>
          <w:color w:val="008790"/>
          <w:sz w:val="48"/>
        </w:rPr>
        <w:t> be places where everyone feels valued for their innate dignity, even if young people are struggling to ﬁnd themselves.”</w:t>
      </w:r>
    </w:p>
    <w:p>
      <w:pPr>
        <w:spacing w:after="0" w:line="216" w:lineRule="auto"/>
        <w:jc w:val="right"/>
        <w:rPr>
          <w:rFonts w:ascii="Palatino Linotype" w:hAnsi="Palatino Linotype"/>
          <w:sz w:val="48"/>
        </w:rPr>
        <w:sectPr>
          <w:type w:val="continuous"/>
          <w:pgSz w:w="11910" w:h="16840"/>
          <w:pgMar w:top="1320" w:bottom="1640" w:left="160" w:right="220"/>
          <w:cols w:num="2" w:equalWidth="0">
            <w:col w:w="5915" w:space="40"/>
            <w:col w:w="5575"/>
          </w:cols>
        </w:sectPr>
      </w:pPr>
    </w:p>
    <w:p>
      <w:pPr>
        <w:pStyle w:val="Heading5"/>
        <w:spacing w:line="216" w:lineRule="auto" w:before="175"/>
        <w:ind w:left="817" w:right="741" w:hanging="1"/>
      </w:pPr>
      <w:r>
        <w:rPr>
          <w:color w:val="231F20"/>
        </w:rPr>
        <w:t>They</w:t>
      </w:r>
      <w:r>
        <w:rPr>
          <w:color w:val="231F20"/>
          <w:spacing w:val="-16"/>
        </w:rPr>
        <w:t> </w:t>
      </w:r>
      <w:r>
        <w:rPr>
          <w:color w:val="231F20"/>
        </w:rPr>
        <w:t>also</w:t>
      </w:r>
      <w:r>
        <w:rPr>
          <w:color w:val="231F20"/>
          <w:spacing w:val="-15"/>
        </w:rPr>
        <w:t> </w:t>
      </w:r>
      <w:r>
        <w:rPr>
          <w:color w:val="231F20"/>
        </w:rPr>
        <w:t>need</w:t>
      </w:r>
      <w:r>
        <w:rPr>
          <w:color w:val="231F20"/>
          <w:spacing w:val="-15"/>
        </w:rPr>
        <w:t> </w:t>
      </w:r>
      <w:r>
        <w:rPr>
          <w:color w:val="231F20"/>
        </w:rPr>
        <w:t>to</w:t>
      </w:r>
      <w:r>
        <w:rPr>
          <w:color w:val="231F20"/>
          <w:spacing w:val="-16"/>
        </w:rPr>
        <w:t> </w:t>
      </w:r>
      <w:r>
        <w:rPr>
          <w:color w:val="231F20"/>
        </w:rPr>
        <w:t>be</w:t>
      </w:r>
      <w:r>
        <w:rPr>
          <w:color w:val="231F20"/>
          <w:spacing w:val="-15"/>
        </w:rPr>
        <w:t> </w:t>
      </w:r>
      <w:r>
        <w:rPr>
          <w:color w:val="231F20"/>
        </w:rPr>
        <w:t>places</w:t>
      </w:r>
      <w:r>
        <w:rPr>
          <w:color w:val="231F20"/>
          <w:spacing w:val="-15"/>
        </w:rPr>
        <w:t> </w:t>
      </w:r>
      <w:r>
        <w:rPr>
          <w:color w:val="231F20"/>
        </w:rPr>
        <w:t>where</w:t>
      </w:r>
      <w:r>
        <w:rPr>
          <w:color w:val="231F20"/>
          <w:spacing w:val="-16"/>
        </w:rPr>
        <w:t> </w:t>
      </w:r>
      <w:r>
        <w:rPr>
          <w:color w:val="231F20"/>
        </w:rPr>
        <w:t>pastoral</w:t>
      </w:r>
      <w:r>
        <w:rPr>
          <w:color w:val="231F20"/>
          <w:spacing w:val="-15"/>
        </w:rPr>
        <w:t> </w:t>
      </w:r>
      <w:r>
        <w:rPr>
          <w:color w:val="231F20"/>
        </w:rPr>
        <w:t>support</w:t>
      </w:r>
      <w:r>
        <w:rPr>
          <w:color w:val="231F20"/>
          <w:spacing w:val="-15"/>
        </w:rPr>
        <w:t> </w:t>
      </w:r>
      <w:r>
        <w:rPr>
          <w:color w:val="231F20"/>
        </w:rPr>
        <w:t>is</w:t>
      </w:r>
      <w:r>
        <w:rPr>
          <w:color w:val="231F20"/>
          <w:spacing w:val="-16"/>
        </w:rPr>
        <w:t> </w:t>
      </w:r>
      <w:r>
        <w:rPr>
          <w:color w:val="231F20"/>
        </w:rPr>
        <w:t>at</w:t>
      </w:r>
      <w:r>
        <w:rPr>
          <w:color w:val="231F20"/>
          <w:spacing w:val="-15"/>
        </w:rPr>
        <w:t> </w:t>
      </w:r>
      <w:r>
        <w:rPr>
          <w:color w:val="231F20"/>
        </w:rPr>
        <w:t>the</w:t>
      </w:r>
      <w:r>
        <w:rPr>
          <w:color w:val="231F20"/>
          <w:spacing w:val="-15"/>
        </w:rPr>
        <w:t> </w:t>
      </w:r>
      <w:r>
        <w:rPr>
          <w:color w:val="231F20"/>
        </w:rPr>
        <w:t>forefront</w:t>
      </w:r>
      <w:r>
        <w:rPr>
          <w:color w:val="231F20"/>
          <w:spacing w:val="-16"/>
        </w:rPr>
        <w:t> </w:t>
      </w:r>
      <w:r>
        <w:rPr>
          <w:color w:val="231F20"/>
        </w:rPr>
        <w:t>of</w:t>
      </w:r>
      <w:r>
        <w:rPr>
          <w:color w:val="231F20"/>
          <w:spacing w:val="-15"/>
        </w:rPr>
        <w:t> </w:t>
      </w:r>
      <w:r>
        <w:rPr>
          <w:color w:val="231F20"/>
        </w:rPr>
        <w:t>what</w:t>
      </w:r>
      <w:r>
        <w:rPr>
          <w:color w:val="231F20"/>
          <w:spacing w:val="-15"/>
        </w:rPr>
        <w:t> </w:t>
      </w:r>
      <w:r>
        <w:rPr>
          <w:color w:val="231F20"/>
        </w:rPr>
        <w:t>they provide, so that no-one is abandoned, even if some might fall away from the teaching of the Church in the manner of their living.</w:t>
      </w:r>
    </w:p>
    <w:p>
      <w:pPr>
        <w:pStyle w:val="BodyText"/>
        <w:spacing w:before="8"/>
        <w:rPr>
          <w:rFonts w:ascii="Palatino Linotype"/>
          <w:sz w:val="25"/>
        </w:rPr>
      </w:pPr>
    </w:p>
    <w:p>
      <w:pPr>
        <w:pStyle w:val="Heading5"/>
        <w:spacing w:line="216" w:lineRule="auto"/>
        <w:ind w:left="817" w:right="741" w:hanging="1"/>
      </w:pPr>
      <w:r>
        <w:rPr>
          <w:color w:val="231F20"/>
        </w:rPr>
        <w:t>All of us, whatever our status, however we choose to identify ourselves, need to have a clear idea of what is implied when we talk about 'love'. We should never forget that beneath our human identity lies that fundamental incompleteness which paradoxically helps rather than hinders our learning to love, and which leads us to cultivate the art of forgiveness in all our relationships.</w:t>
      </w:r>
    </w:p>
    <w:p>
      <w:pPr>
        <w:pStyle w:val="BodyText"/>
        <w:spacing w:before="11"/>
        <w:rPr>
          <w:rFonts w:ascii="Palatino Linotype"/>
          <w:sz w:val="25"/>
        </w:rPr>
      </w:pPr>
    </w:p>
    <w:p>
      <w:pPr>
        <w:pStyle w:val="Heading5"/>
        <w:spacing w:line="216" w:lineRule="auto"/>
        <w:ind w:left="817" w:right="741"/>
      </w:pPr>
      <w:r>
        <w:rPr>
          <w:color w:val="231F20"/>
        </w:rPr>
        <w:t>And lastly, whether or not we are called towards matrimonial love, we are all called</w:t>
      </w:r>
      <w:r>
        <w:rPr>
          <w:color w:val="231F20"/>
          <w:spacing w:val="-6"/>
        </w:rPr>
        <w:t> </w:t>
      </w:r>
      <w:r>
        <w:rPr>
          <w:color w:val="231F20"/>
        </w:rPr>
        <w:t>to</w:t>
      </w:r>
      <w:r>
        <w:rPr>
          <w:color w:val="231F20"/>
          <w:spacing w:val="-5"/>
        </w:rPr>
        <w:t> </w:t>
      </w:r>
      <w:r>
        <w:rPr>
          <w:color w:val="231F20"/>
        </w:rPr>
        <w:t>learn</w:t>
      </w:r>
      <w:r>
        <w:rPr>
          <w:color w:val="231F20"/>
          <w:spacing w:val="-5"/>
        </w:rPr>
        <w:t> </w:t>
      </w:r>
      <w:r>
        <w:rPr>
          <w:color w:val="231F20"/>
        </w:rPr>
        <w:t>how</w:t>
      </w:r>
      <w:r>
        <w:rPr>
          <w:color w:val="231F20"/>
          <w:spacing w:val="-5"/>
        </w:rPr>
        <w:t> </w:t>
      </w:r>
      <w:r>
        <w:rPr>
          <w:color w:val="231F20"/>
        </w:rPr>
        <w:t>to</w:t>
      </w:r>
      <w:r>
        <w:rPr>
          <w:color w:val="231F20"/>
          <w:spacing w:val="-5"/>
        </w:rPr>
        <w:t> </w:t>
      </w:r>
      <w:r>
        <w:rPr>
          <w:color w:val="231F20"/>
        </w:rPr>
        <w:t>love</w:t>
      </w:r>
      <w:r>
        <w:rPr>
          <w:color w:val="231F20"/>
          <w:spacing w:val="-6"/>
        </w:rPr>
        <w:t> </w:t>
      </w:r>
      <w:r>
        <w:rPr>
          <w:color w:val="231F20"/>
        </w:rPr>
        <w:t>in</w:t>
      </w:r>
      <w:r>
        <w:rPr>
          <w:color w:val="231F20"/>
          <w:spacing w:val="-5"/>
        </w:rPr>
        <w:t> </w:t>
      </w:r>
      <w:r>
        <w:rPr>
          <w:color w:val="231F20"/>
          <w:spacing w:val="-3"/>
        </w:rPr>
        <w:t>ways</w:t>
      </w:r>
      <w:r>
        <w:rPr>
          <w:color w:val="231F20"/>
          <w:spacing w:val="-5"/>
        </w:rPr>
        <w:t> </w:t>
      </w:r>
      <w:r>
        <w:rPr>
          <w:color w:val="231F20"/>
        </w:rPr>
        <w:t>that</w:t>
      </w:r>
      <w:r>
        <w:rPr>
          <w:color w:val="231F20"/>
          <w:spacing w:val="-5"/>
        </w:rPr>
        <w:t> </w:t>
      </w:r>
      <w:r>
        <w:rPr>
          <w:color w:val="231F20"/>
        </w:rPr>
        <w:t>best</w:t>
      </w:r>
      <w:r>
        <w:rPr>
          <w:color w:val="231F20"/>
          <w:spacing w:val="-5"/>
        </w:rPr>
        <w:t> </w:t>
      </w:r>
      <w:r>
        <w:rPr>
          <w:color w:val="231F20"/>
        </w:rPr>
        <w:t>approximate</w:t>
      </w:r>
      <w:r>
        <w:rPr>
          <w:color w:val="231F20"/>
          <w:spacing w:val="-6"/>
        </w:rPr>
        <w:t> </w:t>
      </w:r>
      <w:r>
        <w:rPr>
          <w:color w:val="231F20"/>
        </w:rPr>
        <w:t>to</w:t>
      </w:r>
      <w:r>
        <w:rPr>
          <w:color w:val="231F20"/>
          <w:spacing w:val="-5"/>
        </w:rPr>
        <w:t> </w:t>
      </w:r>
      <w:r>
        <w:rPr>
          <w:color w:val="231F20"/>
        </w:rPr>
        <w:t>the</w:t>
      </w:r>
      <w:r>
        <w:rPr>
          <w:color w:val="231F20"/>
          <w:spacing w:val="-5"/>
        </w:rPr>
        <w:t> </w:t>
      </w:r>
      <w:r>
        <w:rPr>
          <w:color w:val="231F20"/>
        </w:rPr>
        <w:t>deﬁnition</w:t>
      </w:r>
      <w:r>
        <w:rPr>
          <w:color w:val="231F20"/>
          <w:spacing w:val="-5"/>
        </w:rPr>
        <w:t> </w:t>
      </w:r>
      <w:r>
        <w:rPr>
          <w:color w:val="231F20"/>
        </w:rPr>
        <w:t>of</w:t>
      </w:r>
      <w:r>
        <w:rPr>
          <w:color w:val="231F20"/>
          <w:spacing w:val="-5"/>
        </w:rPr>
        <w:t> </w:t>
      </w:r>
      <w:r>
        <w:rPr>
          <w:color w:val="231F20"/>
        </w:rPr>
        <w:t>self- oﬀering love as revealed to us in our Lord and Saviour, Jesus Christ. In the chapters that follow, the Church’s teaching on sexual ethics is presented within this pattern of self-giving selﬂess love, and because each of us is capable of resembling Jesus, so </w:t>
      </w:r>
      <w:r>
        <w:rPr>
          <w:color w:val="231F20"/>
          <w:spacing w:val="-3"/>
        </w:rPr>
        <w:t>we </w:t>
      </w:r>
      <w:r>
        <w:rPr>
          <w:color w:val="231F20"/>
        </w:rPr>
        <w:t>can say that the Church's teaching on sexual ethics</w:t>
      </w:r>
      <w:r>
        <w:rPr>
          <w:color w:val="231F20"/>
          <w:spacing w:val="-37"/>
        </w:rPr>
        <w:t> </w:t>
      </w:r>
      <w:r>
        <w:rPr>
          <w:color w:val="231F20"/>
        </w:rPr>
        <w:t>ﬂows from the commandment that </w:t>
      </w:r>
      <w:r>
        <w:rPr>
          <w:color w:val="231F20"/>
          <w:spacing w:val="-3"/>
        </w:rPr>
        <w:t>was </w:t>
      </w:r>
      <w:r>
        <w:rPr>
          <w:color w:val="231F20"/>
        </w:rPr>
        <w:t>given such prominence by Jesus himself: </w:t>
      </w:r>
      <w:r>
        <w:rPr>
          <w:color w:val="231F20"/>
          <w:spacing w:val="-6"/>
        </w:rPr>
        <w:t>‘You </w:t>
      </w:r>
      <w:r>
        <w:rPr>
          <w:color w:val="231F20"/>
        </w:rPr>
        <w:t>shall love your neighbour as</w:t>
      </w:r>
      <w:r>
        <w:rPr>
          <w:color w:val="231F20"/>
          <w:spacing w:val="-1"/>
        </w:rPr>
        <w:t> </w:t>
      </w:r>
      <w:r>
        <w:rPr>
          <w:color w:val="231F20"/>
        </w:rPr>
        <w:t>yourself’.</w:t>
      </w:r>
    </w:p>
    <w:p>
      <w:pPr>
        <w:spacing w:after="0" w:line="216" w:lineRule="auto"/>
        <w:sectPr>
          <w:type w:val="continuous"/>
          <w:pgSz w:w="11910" w:h="16840"/>
          <w:pgMar w:top="1320" w:bottom="1640" w:left="160" w:right="220"/>
        </w:sectPr>
      </w:pPr>
    </w:p>
    <w:p>
      <w:pPr>
        <w:spacing w:before="70"/>
        <w:ind w:left="770" w:right="0" w:firstLine="0"/>
        <w:jc w:val="both"/>
        <w:rPr>
          <w:rFonts w:ascii="Palatino Linotype"/>
          <w:sz w:val="48"/>
        </w:rPr>
      </w:pPr>
      <w:r>
        <w:rPr>
          <w:rFonts w:ascii="Palatino Linotype"/>
          <w:color w:val="008790"/>
          <w:sz w:val="48"/>
        </w:rPr>
        <w:t>chapter 2 - the language of desire</w:t>
      </w:r>
    </w:p>
    <w:p>
      <w:pPr>
        <w:pStyle w:val="Heading5"/>
        <w:spacing w:line="216" w:lineRule="auto" w:before="339"/>
        <w:ind w:left="790" w:right="768"/>
      </w:pPr>
      <w:r>
        <w:rPr>
          <w:color w:val="231F20"/>
        </w:rPr>
        <w:t>Sacred Scripture opens to us the truth that God speaks in Words, and that His Word is active. In the opening words of the Bible, God's Word brings life into existence. Later, in the Law and Commandments, His Word communicates His nature to us and reveals how </w:t>
      </w:r>
      <w:r>
        <w:rPr>
          <w:color w:val="231F20"/>
          <w:spacing w:val="-3"/>
        </w:rPr>
        <w:t>we </w:t>
      </w:r>
      <w:r>
        <w:rPr>
          <w:color w:val="231F20"/>
        </w:rPr>
        <w:t>can live in relationship with Him. Finally, </w:t>
      </w:r>
      <w:r>
        <w:rPr>
          <w:color w:val="231F20"/>
          <w:spacing w:val="-4"/>
        </w:rPr>
        <w:t>and</w:t>
      </w:r>
      <w:r>
        <w:rPr>
          <w:color w:val="231F20"/>
          <w:spacing w:val="62"/>
        </w:rPr>
        <w:t> </w:t>
      </w:r>
      <w:r>
        <w:rPr>
          <w:color w:val="231F20"/>
        </w:rPr>
        <w:t>deﬁnitively, His Word culminates in becoming the means of our salvation:</w:t>
      </w:r>
    </w:p>
    <w:p>
      <w:pPr>
        <w:pStyle w:val="Heading6"/>
        <w:spacing w:line="360" w:lineRule="exact" w:before="247"/>
        <w:rPr>
          <w:i/>
        </w:rPr>
      </w:pPr>
      <w:r>
        <w:rPr>
          <w:i/>
          <w:color w:val="231F20"/>
        </w:rPr>
        <w:t>In the beginning </w:t>
      </w:r>
      <w:r>
        <w:rPr>
          <w:i/>
          <w:color w:val="231F20"/>
          <w:spacing w:val="-3"/>
        </w:rPr>
        <w:t>was </w:t>
      </w:r>
      <w:r>
        <w:rPr>
          <w:i/>
          <w:color w:val="231F20"/>
        </w:rPr>
        <w:t>the Word, and the Word </w:t>
      </w:r>
      <w:r>
        <w:rPr>
          <w:i/>
          <w:color w:val="231F20"/>
          <w:spacing w:val="-3"/>
        </w:rPr>
        <w:t>was </w:t>
      </w:r>
      <w:r>
        <w:rPr>
          <w:i/>
          <w:color w:val="231F20"/>
        </w:rPr>
        <w:t>with God, and the Word</w:t>
      </w:r>
      <w:r>
        <w:rPr>
          <w:i/>
          <w:color w:val="231F20"/>
          <w:spacing w:val="9"/>
        </w:rPr>
        <w:t> </w:t>
      </w:r>
      <w:r>
        <w:rPr>
          <w:i/>
          <w:color w:val="231F20"/>
          <w:spacing w:val="-3"/>
        </w:rPr>
        <w:t>was</w:t>
      </w:r>
    </w:p>
    <w:p>
      <w:pPr>
        <w:pStyle w:val="Heading6"/>
        <w:spacing w:line="216" w:lineRule="auto" w:before="11"/>
        <w:ind w:left="1361" w:firstLine="4845"/>
      </w:pPr>
      <w:r>
        <w:rPr>
          <w:i/>
          <w:color w:val="231F20"/>
        </w:rPr>
        <w:t>God. He </w:t>
      </w:r>
      <w:r>
        <w:rPr>
          <w:i/>
          <w:color w:val="231F20"/>
          <w:spacing w:val="-3"/>
        </w:rPr>
        <w:t>was </w:t>
      </w:r>
      <w:r>
        <w:rPr>
          <w:i/>
          <w:color w:val="231F20"/>
        </w:rPr>
        <w:t>in the beginning</w:t>
      </w:r>
      <w:r>
        <w:rPr>
          <w:i/>
          <w:color w:val="231F20"/>
          <w:spacing w:val="3"/>
        </w:rPr>
        <w:t> </w:t>
      </w:r>
      <w:r>
        <w:rPr>
          <w:i/>
          <w:color w:val="231F20"/>
        </w:rPr>
        <w:t>with</w:t>
      </w:r>
      <w:r>
        <w:rPr>
          <w:i/>
          <w:color w:val="231F20"/>
          <w:spacing w:val="1"/>
        </w:rPr>
        <w:t> </w:t>
      </w:r>
      <w:r>
        <w:rPr>
          <w:i/>
          <w:color w:val="231F20"/>
          <w:spacing w:val="-4"/>
        </w:rPr>
        <w:t>God.</w:t>
      </w:r>
      <w:r>
        <w:rPr>
          <w:color w:val="231F20"/>
        </w:rPr>
        <w:t> He </w:t>
      </w:r>
      <w:r>
        <w:rPr>
          <w:color w:val="231F20"/>
          <w:spacing w:val="-3"/>
        </w:rPr>
        <w:t>was </w:t>
      </w:r>
      <w:r>
        <w:rPr>
          <w:color w:val="231F20"/>
        </w:rPr>
        <w:t>in the world, and the world came into being through Him; yet the world </w:t>
      </w:r>
      <w:r>
        <w:rPr>
          <w:color w:val="231F20"/>
          <w:spacing w:val="-6"/>
        </w:rPr>
        <w:t>did</w:t>
      </w:r>
    </w:p>
    <w:p>
      <w:pPr>
        <w:pStyle w:val="Heading6"/>
        <w:spacing w:line="216" w:lineRule="auto" w:before="3"/>
        <w:ind w:left="2728" w:firstLine="6323"/>
      </w:pPr>
      <w:r>
        <w:rPr>
          <w:i/>
          <w:color w:val="231F20"/>
        </w:rPr>
        <w:t>not</w:t>
      </w:r>
      <w:r>
        <w:rPr>
          <w:i/>
          <w:color w:val="231F20"/>
          <w:spacing w:val="1"/>
        </w:rPr>
        <w:t> </w:t>
      </w:r>
      <w:r>
        <w:rPr>
          <w:i/>
          <w:color w:val="231F20"/>
        </w:rPr>
        <w:t>know</w:t>
      </w:r>
      <w:r>
        <w:rPr>
          <w:i/>
          <w:color w:val="231F20"/>
          <w:spacing w:val="2"/>
        </w:rPr>
        <w:t> </w:t>
      </w:r>
      <w:r>
        <w:rPr>
          <w:i/>
          <w:color w:val="231F20"/>
          <w:spacing w:val="-5"/>
        </w:rPr>
        <w:t>Him.</w:t>
      </w:r>
      <w:r>
        <w:rPr>
          <w:color w:val="231F20"/>
        </w:rPr>
        <w:t> And the Word became ﬂesh and lived among us, full of grace and</w:t>
      </w:r>
      <w:r>
        <w:rPr>
          <w:color w:val="231F20"/>
          <w:spacing w:val="-4"/>
        </w:rPr>
        <w:t> </w:t>
      </w:r>
      <w:r>
        <w:rPr>
          <w:color w:val="231F20"/>
          <w:spacing w:val="-3"/>
        </w:rPr>
        <w:t>truth.</w:t>
      </w:r>
    </w:p>
    <w:p>
      <w:pPr>
        <w:pStyle w:val="Heading5"/>
        <w:spacing w:line="351" w:lineRule="exact"/>
        <w:ind w:right="768"/>
        <w:jc w:val="right"/>
      </w:pPr>
      <w:r>
        <w:rPr>
          <w:color w:val="231F20"/>
        </w:rPr>
        <w:t>John 1 :1-2.10.14</w:t>
      </w:r>
    </w:p>
    <w:p>
      <w:pPr>
        <w:pStyle w:val="Heading5"/>
        <w:spacing w:line="216" w:lineRule="auto" w:before="303"/>
        <w:ind w:left="790" w:right="768"/>
      </w:pPr>
      <w:r>
        <w:rPr>
          <w:color w:val="231F20"/>
        </w:rPr>
        <w:t>As God's self-portraits, however ﬂawed, each of us instinctively realises that our words contain residual power; they can rise above the level of 'chatter' to potentially change things in the world that surrounds us, for good or bad. The words we use to convey love are rightly the most highly esteemed; in love songs and in poetry, our hearts are stirred and moved beyond measure, and in the promises made in marriage. It is through words that our very nature is changed as we bind ourselves to our spouse.</w:t>
      </w:r>
    </w:p>
    <w:p>
      <w:pPr>
        <w:pStyle w:val="Heading5"/>
        <w:spacing w:line="216" w:lineRule="auto" w:before="182"/>
        <w:ind w:left="783" w:right="7122" w:hanging="1"/>
      </w:pPr>
      <w:r>
        <w:rPr/>
        <w:drawing>
          <wp:anchor distT="0" distB="0" distL="0" distR="0" allowOverlap="1" layoutInCell="1" locked="0" behindDoc="0" simplePos="0" relativeHeight="251683840">
            <wp:simplePos x="0" y="0"/>
            <wp:positionH relativeFrom="page">
              <wp:posOffset>3080143</wp:posOffset>
            </wp:positionH>
            <wp:positionV relativeFrom="paragraph">
              <wp:posOffset>177743</wp:posOffset>
            </wp:positionV>
            <wp:extent cx="3870261" cy="3125190"/>
            <wp:effectExtent l="0" t="0" r="0" b="0"/>
            <wp:wrapNone/>
            <wp:docPr id="39" name="image17.jpeg"/>
            <wp:cNvGraphicFramePr>
              <a:graphicFrameLocks noChangeAspect="1"/>
            </wp:cNvGraphicFramePr>
            <a:graphic>
              <a:graphicData uri="http://schemas.openxmlformats.org/drawingml/2006/picture">
                <pic:pic>
                  <pic:nvPicPr>
                    <pic:cNvPr id="40" name="image17.jpeg"/>
                    <pic:cNvPicPr/>
                  </pic:nvPicPr>
                  <pic:blipFill>
                    <a:blip r:embed="rId140" cstate="print"/>
                    <a:stretch>
                      <a:fillRect/>
                    </a:stretch>
                  </pic:blipFill>
                  <pic:spPr>
                    <a:xfrm>
                      <a:off x="0" y="0"/>
                      <a:ext cx="3870261" cy="3125190"/>
                    </a:xfrm>
                    <a:prstGeom prst="rect">
                      <a:avLst/>
                    </a:prstGeom>
                  </pic:spPr>
                </pic:pic>
              </a:graphicData>
            </a:graphic>
          </wp:anchor>
        </w:drawing>
      </w:r>
      <w:r>
        <w:rPr>
          <w:color w:val="231F20"/>
        </w:rPr>
        <w:t>But the language of love stretches beyond words. </w:t>
      </w:r>
      <w:r>
        <w:rPr>
          <w:color w:val="231F20"/>
          <w:spacing w:val="-8"/>
        </w:rPr>
        <w:t>We </w:t>
      </w:r>
      <w:r>
        <w:rPr>
          <w:color w:val="231F20"/>
        </w:rPr>
        <w:t>delight in depictions of beauty and love which have the power to aﬀect us</w:t>
      </w:r>
      <w:r>
        <w:rPr>
          <w:color w:val="231F20"/>
          <w:spacing w:val="-35"/>
        </w:rPr>
        <w:t> </w:t>
      </w:r>
      <w:r>
        <w:rPr>
          <w:color w:val="231F20"/>
          <w:spacing w:val="-3"/>
        </w:rPr>
        <w:t>deeply, </w:t>
      </w:r>
      <w:r>
        <w:rPr>
          <w:color w:val="231F20"/>
        </w:rPr>
        <w:t>whether in art or ﬁlm.</w:t>
      </w:r>
    </w:p>
    <w:p>
      <w:pPr>
        <w:pStyle w:val="BodyText"/>
        <w:spacing w:before="13"/>
        <w:rPr>
          <w:rFonts w:ascii="Palatino Linotype"/>
          <w:sz w:val="25"/>
        </w:rPr>
      </w:pPr>
    </w:p>
    <w:p>
      <w:pPr>
        <w:pStyle w:val="Heading5"/>
        <w:spacing w:line="216" w:lineRule="auto"/>
        <w:ind w:left="783" w:right="7122"/>
      </w:pPr>
      <w:r>
        <w:rPr>
          <w:color w:val="231F20"/>
          <w:spacing w:val="-3"/>
        </w:rPr>
        <w:t>However,</w:t>
      </w:r>
      <w:r>
        <w:rPr>
          <w:color w:val="231F20"/>
          <w:spacing w:val="-21"/>
        </w:rPr>
        <w:t> </w:t>
      </w:r>
      <w:r>
        <w:rPr>
          <w:color w:val="231F20"/>
        </w:rPr>
        <w:t>words</w:t>
      </w:r>
      <w:r>
        <w:rPr>
          <w:color w:val="231F20"/>
          <w:spacing w:val="-21"/>
        </w:rPr>
        <w:t> </w:t>
      </w:r>
      <w:r>
        <w:rPr>
          <w:color w:val="231F20"/>
        </w:rPr>
        <w:t>and</w:t>
      </w:r>
      <w:r>
        <w:rPr>
          <w:color w:val="231F20"/>
          <w:spacing w:val="-21"/>
        </w:rPr>
        <w:t> </w:t>
      </w:r>
      <w:r>
        <w:rPr>
          <w:color w:val="231F20"/>
        </w:rPr>
        <w:t>pictures also have the power to damage and diminish us to the point of enslavement, such as in</w:t>
      </w:r>
      <w:r>
        <w:rPr>
          <w:color w:val="231F20"/>
          <w:spacing w:val="-1"/>
        </w:rPr>
        <w:t> </w:t>
      </w:r>
      <w:r>
        <w:rPr>
          <w:color w:val="231F20"/>
        </w:rPr>
        <w:t>pornography.</w:t>
      </w:r>
    </w:p>
    <w:p>
      <w:pPr>
        <w:pStyle w:val="BodyText"/>
        <w:spacing w:before="11"/>
        <w:rPr>
          <w:rFonts w:ascii="Palatino Linotype"/>
          <w:sz w:val="25"/>
        </w:rPr>
      </w:pPr>
    </w:p>
    <w:p>
      <w:pPr>
        <w:pStyle w:val="Heading5"/>
        <w:spacing w:line="216" w:lineRule="auto"/>
        <w:ind w:left="783" w:right="7122"/>
      </w:pPr>
      <w:r>
        <w:rPr>
          <w:color w:val="231F20"/>
        </w:rPr>
        <w:t>Although there is nothing new in this, the internet</w:t>
      </w:r>
    </w:p>
    <w:p>
      <w:pPr>
        <w:spacing w:after="0" w:line="216" w:lineRule="auto"/>
        <w:sectPr>
          <w:headerReference w:type="default" r:id="rId138"/>
          <w:footerReference w:type="default" r:id="rId139"/>
          <w:pgSz w:w="11910" w:h="16840"/>
          <w:pgMar w:header="0" w:footer="1122" w:top="780" w:bottom="1320" w:left="160" w:right="220"/>
          <w:pgNumType w:start="10"/>
        </w:sectPr>
      </w:pPr>
    </w:p>
    <w:p>
      <w:pPr>
        <w:pStyle w:val="Heading5"/>
        <w:spacing w:line="338" w:lineRule="exact"/>
        <w:ind w:left="783"/>
        <w:jc w:val="left"/>
      </w:pPr>
      <w:r>
        <w:rPr>
          <w:color w:val="231F20"/>
        </w:rPr>
        <w:t>delivers words and</w:t>
      </w:r>
      <w:r>
        <w:rPr>
          <w:color w:val="231F20"/>
          <w:spacing w:val="55"/>
        </w:rPr>
        <w:t> </w:t>
      </w:r>
      <w:r>
        <w:rPr>
          <w:color w:val="231F20"/>
        </w:rPr>
        <w:t>images</w:t>
      </w:r>
    </w:p>
    <w:p>
      <w:pPr>
        <w:spacing w:line="272" w:lineRule="exact" w:before="0"/>
        <w:ind w:left="266" w:right="0" w:firstLine="0"/>
        <w:jc w:val="left"/>
        <w:rPr>
          <w:rFonts w:ascii="Palatino Linotype"/>
          <w:b/>
          <w:i/>
          <w:sz w:val="24"/>
        </w:rPr>
      </w:pPr>
      <w:r>
        <w:rPr/>
        <w:br w:type="column"/>
      </w:r>
      <w:r>
        <w:rPr>
          <w:rFonts w:ascii="Palatino Linotype"/>
          <w:b/>
          <w:color w:val="231F20"/>
          <w:sz w:val="24"/>
        </w:rPr>
        <w:t>The Jewish Bride, Rembrandt, (</w:t>
      </w:r>
      <w:r>
        <w:rPr>
          <w:rFonts w:ascii="Palatino Linotype"/>
          <w:b/>
          <w:i/>
          <w:color w:val="231F20"/>
          <w:sz w:val="24"/>
        </w:rPr>
        <w:t>Rijksmusem Amsterdam)</w:t>
      </w:r>
    </w:p>
    <w:p>
      <w:pPr>
        <w:spacing w:after="0" w:line="272" w:lineRule="exact"/>
        <w:jc w:val="left"/>
        <w:rPr>
          <w:rFonts w:ascii="Palatino Linotype"/>
          <w:sz w:val="24"/>
        </w:rPr>
        <w:sectPr>
          <w:type w:val="continuous"/>
          <w:pgSz w:w="11910" w:h="16840"/>
          <w:pgMar w:top="1320" w:bottom="1640" w:left="160" w:right="220"/>
          <w:cols w:num="2" w:equalWidth="0">
            <w:col w:w="4401" w:space="40"/>
            <w:col w:w="7089"/>
          </w:cols>
        </w:sectPr>
      </w:pPr>
    </w:p>
    <w:p>
      <w:pPr>
        <w:pStyle w:val="Heading5"/>
        <w:spacing w:line="216" w:lineRule="auto" w:before="29"/>
        <w:ind w:left="759" w:right="486"/>
        <w:jc w:val="left"/>
      </w:pPr>
      <w:r>
        <w:rPr>
          <w:color w:val="231F20"/>
        </w:rPr>
        <w:t>that penetrate our daily lives far more profoundly than ever in the past, and sometimes with devastating eﬀects.</w:t>
      </w:r>
    </w:p>
    <w:p>
      <w:pPr>
        <w:spacing w:after="0" w:line="216" w:lineRule="auto"/>
        <w:jc w:val="left"/>
        <w:sectPr>
          <w:type w:val="continuous"/>
          <w:pgSz w:w="11910" w:h="16840"/>
          <w:pgMar w:top="1320" w:bottom="1640" w:left="160" w:right="220"/>
        </w:sectPr>
      </w:pPr>
    </w:p>
    <w:p>
      <w:pPr>
        <w:pStyle w:val="Heading5"/>
        <w:spacing w:line="216" w:lineRule="auto" w:before="102"/>
        <w:ind w:left="747" w:right="811" w:hanging="1"/>
      </w:pPr>
      <w:r>
        <w:rPr>
          <w:color w:val="231F20"/>
        </w:rPr>
        <w:t>In</w:t>
      </w:r>
      <w:r>
        <w:rPr>
          <w:color w:val="231F20"/>
          <w:spacing w:val="-18"/>
        </w:rPr>
        <w:t> </w:t>
      </w:r>
      <w:r>
        <w:rPr>
          <w:color w:val="231F20"/>
        </w:rPr>
        <w:t>the</w:t>
      </w:r>
      <w:r>
        <w:rPr>
          <w:color w:val="231F20"/>
          <w:spacing w:val="-17"/>
        </w:rPr>
        <w:t> </w:t>
      </w:r>
      <w:r>
        <w:rPr>
          <w:color w:val="231F20"/>
        </w:rPr>
        <w:t>same</w:t>
      </w:r>
      <w:r>
        <w:rPr>
          <w:color w:val="231F20"/>
          <w:spacing w:val="-17"/>
        </w:rPr>
        <w:t> </w:t>
      </w:r>
      <w:r>
        <w:rPr>
          <w:color w:val="231F20"/>
          <w:spacing w:val="-4"/>
        </w:rPr>
        <w:t>way,</w:t>
      </w:r>
      <w:r>
        <w:rPr>
          <w:color w:val="231F20"/>
          <w:spacing w:val="-17"/>
        </w:rPr>
        <w:t> </w:t>
      </w:r>
      <w:r>
        <w:rPr>
          <w:color w:val="231F20"/>
          <w:spacing w:val="-3"/>
        </w:rPr>
        <w:t>advances</w:t>
      </w:r>
      <w:r>
        <w:rPr>
          <w:color w:val="231F20"/>
          <w:spacing w:val="-17"/>
        </w:rPr>
        <w:t> </w:t>
      </w:r>
      <w:r>
        <w:rPr>
          <w:color w:val="231F20"/>
        </w:rPr>
        <w:t>in</w:t>
      </w:r>
      <w:r>
        <w:rPr>
          <w:color w:val="231F20"/>
          <w:spacing w:val="-17"/>
        </w:rPr>
        <w:t> </w:t>
      </w:r>
      <w:r>
        <w:rPr>
          <w:color w:val="231F20"/>
        </w:rPr>
        <w:t>social</w:t>
      </w:r>
      <w:r>
        <w:rPr>
          <w:color w:val="231F20"/>
          <w:spacing w:val="-17"/>
        </w:rPr>
        <w:t> </w:t>
      </w:r>
      <w:r>
        <w:rPr>
          <w:color w:val="231F20"/>
        </w:rPr>
        <w:t>media</w:t>
      </w:r>
      <w:r>
        <w:rPr>
          <w:color w:val="231F20"/>
          <w:spacing w:val="-17"/>
        </w:rPr>
        <w:t> </w:t>
      </w:r>
      <w:r>
        <w:rPr>
          <w:color w:val="231F20"/>
        </w:rPr>
        <w:t>enable</w:t>
      </w:r>
      <w:r>
        <w:rPr>
          <w:color w:val="231F20"/>
          <w:spacing w:val="-17"/>
        </w:rPr>
        <w:t> </w:t>
      </w:r>
      <w:r>
        <w:rPr>
          <w:color w:val="231F20"/>
        </w:rPr>
        <w:t>and</w:t>
      </w:r>
      <w:r>
        <w:rPr>
          <w:color w:val="231F20"/>
          <w:spacing w:val="-17"/>
        </w:rPr>
        <w:t> </w:t>
      </w:r>
      <w:r>
        <w:rPr>
          <w:color w:val="231F20"/>
        </w:rPr>
        <w:t>encourage</w:t>
      </w:r>
      <w:r>
        <w:rPr>
          <w:color w:val="231F20"/>
          <w:spacing w:val="-17"/>
        </w:rPr>
        <w:t> </w:t>
      </w:r>
      <w:r>
        <w:rPr>
          <w:color w:val="231F20"/>
        </w:rPr>
        <w:t>users</w:t>
      </w:r>
      <w:r>
        <w:rPr>
          <w:color w:val="231F20"/>
          <w:spacing w:val="-17"/>
        </w:rPr>
        <w:t> </w:t>
      </w:r>
      <w:r>
        <w:rPr>
          <w:color w:val="231F20"/>
        </w:rPr>
        <w:t>to</w:t>
      </w:r>
      <w:r>
        <w:rPr>
          <w:color w:val="231F20"/>
          <w:spacing w:val="-17"/>
        </w:rPr>
        <w:t> </w:t>
      </w:r>
      <w:r>
        <w:rPr>
          <w:color w:val="231F20"/>
        </w:rPr>
        <w:t>do</w:t>
      </w:r>
      <w:r>
        <w:rPr>
          <w:color w:val="231F20"/>
          <w:spacing w:val="-17"/>
        </w:rPr>
        <w:t> </w:t>
      </w:r>
      <w:r>
        <w:rPr>
          <w:color w:val="231F20"/>
        </w:rPr>
        <w:t>much more than keep in touch with people; they have become a way of projecting a self-image that can end up, paradoxically, damaging the image of the person behind the screen. Practices such as ‘sexting’ objectify and cheapen the bodies </w:t>
      </w:r>
      <w:r>
        <w:rPr>
          <w:color w:val="231F20"/>
          <w:spacing w:val="-7"/>
        </w:rPr>
        <w:t>of </w:t>
      </w:r>
      <w:r>
        <w:rPr>
          <w:color w:val="231F20"/>
        </w:rPr>
        <w:t>living people, reducing them to a commodity for the entertainment of others:</w:t>
      </w:r>
    </w:p>
    <w:p>
      <w:pPr>
        <w:pStyle w:val="Heading6"/>
        <w:spacing w:line="216" w:lineRule="auto" w:before="238"/>
        <w:ind w:left="1133" w:right="796" w:firstLine="455"/>
      </w:pPr>
      <w:r>
        <w:rPr>
          <w:i/>
          <w:color w:val="231F20"/>
        </w:rPr>
        <w:t>It is not helpful to overwhelm [children and young people] with data</w:t>
      </w:r>
      <w:r>
        <w:rPr>
          <w:i/>
          <w:color w:val="231F20"/>
          <w:spacing w:val="-2"/>
        </w:rPr>
        <w:t> </w:t>
      </w:r>
      <w:r>
        <w:rPr>
          <w:i/>
          <w:color w:val="231F20"/>
        </w:rPr>
        <w:t>without </w:t>
      </w:r>
      <w:r>
        <w:rPr>
          <w:i/>
          <w:color w:val="231F20"/>
          <w:spacing w:val="-5"/>
        </w:rPr>
        <w:t>also</w:t>
      </w:r>
      <w:r>
        <w:rPr>
          <w:color w:val="231F20"/>
        </w:rPr>
        <w:t> helping them to develop a critical sense in dealing with the onslaught of</w:t>
      </w:r>
      <w:r>
        <w:rPr>
          <w:color w:val="231F20"/>
          <w:spacing w:val="-5"/>
        </w:rPr>
        <w:t> </w:t>
      </w:r>
      <w:r>
        <w:rPr>
          <w:color w:val="231F20"/>
        </w:rPr>
        <w:t>new ideas and suggestions, the ﬂood of pornography and the overload of stimuli that</w:t>
      </w:r>
      <w:r>
        <w:rPr>
          <w:color w:val="231F20"/>
          <w:spacing w:val="-5"/>
        </w:rPr>
        <w:t> </w:t>
      </w:r>
      <w:r>
        <w:rPr>
          <w:color w:val="231F20"/>
        </w:rPr>
        <w:t>can </w:t>
      </w:r>
      <w:r>
        <w:rPr>
          <w:color w:val="231F20"/>
          <w:spacing w:val="-3"/>
        </w:rPr>
        <w:t>deform</w:t>
      </w:r>
      <w:r>
        <w:rPr>
          <w:color w:val="231F20"/>
        </w:rPr>
        <w:t> sexuality. </w:t>
      </w:r>
      <w:r>
        <w:rPr>
          <w:color w:val="231F20"/>
          <w:spacing w:val="-5"/>
        </w:rPr>
        <w:t>Young </w:t>
      </w:r>
      <w:r>
        <w:rPr>
          <w:color w:val="231F20"/>
        </w:rPr>
        <w:t>people need to realise that they are bombarded by messages</w:t>
      </w:r>
      <w:r>
        <w:rPr>
          <w:color w:val="231F20"/>
          <w:spacing w:val="6"/>
        </w:rPr>
        <w:t> </w:t>
      </w:r>
      <w:r>
        <w:rPr>
          <w:color w:val="231F20"/>
        </w:rPr>
        <w:t>that</w:t>
      </w:r>
      <w:r>
        <w:rPr>
          <w:color w:val="231F20"/>
          <w:spacing w:val="1"/>
        </w:rPr>
        <w:t> </w:t>
      </w:r>
      <w:r>
        <w:rPr>
          <w:color w:val="231F20"/>
        </w:rPr>
        <w:t>are not beneﬁcial for their growth towards maturity. They should be helped</w:t>
      </w:r>
      <w:r>
        <w:rPr>
          <w:color w:val="231F20"/>
          <w:spacing w:val="-8"/>
        </w:rPr>
        <w:t> </w:t>
      </w:r>
      <w:r>
        <w:rPr>
          <w:color w:val="231F20"/>
        </w:rPr>
        <w:t>to recognise and to seek out positive inﬂuences, while shunning the things that</w:t>
      </w:r>
      <w:r>
        <w:rPr>
          <w:color w:val="231F20"/>
          <w:spacing w:val="-5"/>
        </w:rPr>
        <w:t> </w:t>
      </w:r>
      <w:r>
        <w:rPr>
          <w:color w:val="231F20"/>
        </w:rPr>
        <w:t>cripple their capacity for love. </w:t>
      </w:r>
      <w:r>
        <w:rPr>
          <w:color w:val="231F20"/>
          <w:spacing w:val="-10"/>
        </w:rPr>
        <w:t>We </w:t>
      </w:r>
      <w:r>
        <w:rPr>
          <w:color w:val="231F20"/>
        </w:rPr>
        <w:t>also have to realise that “a new and more</w:t>
      </w:r>
      <w:r>
        <w:rPr>
          <w:color w:val="231F20"/>
          <w:spacing w:val="1"/>
        </w:rPr>
        <w:t> </w:t>
      </w:r>
      <w:r>
        <w:rPr>
          <w:color w:val="231F20"/>
        </w:rPr>
        <w:t>appropriate language” is needed “in introducing children and adolescents to the topic of sexuality”.</w:t>
      </w:r>
    </w:p>
    <w:p>
      <w:pPr>
        <w:pStyle w:val="Heading5"/>
        <w:spacing w:line="360" w:lineRule="exact"/>
        <w:ind w:right="796"/>
        <w:jc w:val="right"/>
      </w:pPr>
      <w:r>
        <w:rPr>
          <w:color w:val="231F20"/>
        </w:rPr>
        <w:t>AL 281</w:t>
      </w:r>
    </w:p>
    <w:p>
      <w:pPr>
        <w:pStyle w:val="Heading5"/>
        <w:spacing w:line="216" w:lineRule="auto" w:before="99"/>
        <w:ind w:left="804" w:right="754" w:hanging="1"/>
      </w:pPr>
      <w:r>
        <w:rPr>
          <w:color w:val="231F20"/>
        </w:rPr>
        <w:t>Responsible parents begin this process of formation for their children from a young</w:t>
      </w:r>
      <w:r>
        <w:rPr>
          <w:color w:val="231F20"/>
          <w:spacing w:val="-5"/>
        </w:rPr>
        <w:t> </w:t>
      </w:r>
      <w:r>
        <w:rPr>
          <w:color w:val="231F20"/>
        </w:rPr>
        <w:t>age,</w:t>
      </w:r>
      <w:r>
        <w:rPr>
          <w:color w:val="231F20"/>
          <w:spacing w:val="-5"/>
        </w:rPr>
        <w:t> </w:t>
      </w:r>
      <w:r>
        <w:rPr>
          <w:color w:val="231F20"/>
        </w:rPr>
        <w:t>and</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forefront</w:t>
      </w:r>
      <w:r>
        <w:rPr>
          <w:color w:val="231F20"/>
          <w:spacing w:val="-5"/>
        </w:rPr>
        <w:t> </w:t>
      </w:r>
      <w:r>
        <w:rPr>
          <w:color w:val="231F20"/>
        </w:rPr>
        <w:t>of</w:t>
      </w:r>
      <w:r>
        <w:rPr>
          <w:color w:val="231F20"/>
          <w:spacing w:val="-5"/>
        </w:rPr>
        <w:t> </w:t>
      </w:r>
      <w:r>
        <w:rPr>
          <w:color w:val="231F20"/>
        </w:rPr>
        <w:t>what</w:t>
      </w:r>
      <w:r>
        <w:rPr>
          <w:color w:val="231F20"/>
          <w:spacing w:val="-5"/>
        </w:rPr>
        <w:t> </w:t>
      </w:r>
      <w:r>
        <w:rPr>
          <w:color w:val="231F20"/>
        </w:rPr>
        <w:t>they</w:t>
      </w:r>
      <w:r>
        <w:rPr>
          <w:color w:val="231F20"/>
          <w:spacing w:val="-5"/>
        </w:rPr>
        <w:t> </w:t>
      </w:r>
      <w:r>
        <w:rPr>
          <w:color w:val="231F20"/>
        </w:rPr>
        <w:t>hope</w:t>
      </w:r>
      <w:r>
        <w:rPr>
          <w:color w:val="231F20"/>
          <w:spacing w:val="-4"/>
        </w:rPr>
        <w:t> </w:t>
      </w:r>
      <w:r>
        <w:rPr>
          <w:color w:val="231F20"/>
        </w:rPr>
        <w:t>to</w:t>
      </w:r>
      <w:r>
        <w:rPr>
          <w:color w:val="231F20"/>
          <w:spacing w:val="-5"/>
        </w:rPr>
        <w:t> </w:t>
      </w:r>
      <w:r>
        <w:rPr>
          <w:color w:val="231F20"/>
        </w:rPr>
        <w:t>ﬁnd</w:t>
      </w:r>
      <w:r>
        <w:rPr>
          <w:color w:val="231F20"/>
          <w:spacing w:val="-5"/>
        </w:rPr>
        <w:t> </w:t>
      </w:r>
      <w:r>
        <w:rPr>
          <w:color w:val="231F20"/>
        </w:rPr>
        <w:t>for</w:t>
      </w:r>
      <w:r>
        <w:rPr>
          <w:color w:val="231F20"/>
          <w:spacing w:val="-5"/>
        </w:rPr>
        <w:t> </w:t>
      </w:r>
      <w:r>
        <w:rPr>
          <w:color w:val="231F20"/>
        </w:rPr>
        <w:t>their</w:t>
      </w:r>
      <w:r>
        <w:rPr>
          <w:color w:val="231F20"/>
          <w:spacing w:val="-5"/>
        </w:rPr>
        <w:t> </w:t>
      </w:r>
      <w:r>
        <w:rPr>
          <w:color w:val="231F20"/>
        </w:rPr>
        <w:t>children</w:t>
      </w:r>
      <w:r>
        <w:rPr>
          <w:color w:val="231F20"/>
          <w:spacing w:val="-5"/>
        </w:rPr>
        <w:t> </w:t>
      </w:r>
      <w:r>
        <w:rPr>
          <w:color w:val="231F20"/>
          <w:spacing w:val="-9"/>
        </w:rPr>
        <w:t>in </w:t>
      </w:r>
      <w:r>
        <w:rPr>
          <w:color w:val="231F20"/>
        </w:rPr>
        <w:t>a good school. Indeed, we encourage our own Catholic schools to see this formation as a primary objective in their mission to educate for life. But parents could learn from the example set by schools in protecting their children from </w:t>
      </w:r>
      <w:r>
        <w:rPr>
          <w:color w:val="231F20"/>
          <w:spacing w:val="-3"/>
        </w:rPr>
        <w:t>damaging</w:t>
      </w:r>
      <w:r>
        <w:rPr>
          <w:color w:val="231F20"/>
          <w:spacing w:val="-14"/>
        </w:rPr>
        <w:t> </w:t>
      </w:r>
      <w:r>
        <w:rPr>
          <w:color w:val="231F20"/>
          <w:spacing w:val="-3"/>
        </w:rPr>
        <w:t>internet</w:t>
      </w:r>
      <w:r>
        <w:rPr>
          <w:color w:val="231F20"/>
          <w:spacing w:val="-13"/>
        </w:rPr>
        <w:t> </w:t>
      </w:r>
      <w:r>
        <w:rPr>
          <w:color w:val="231F20"/>
          <w:spacing w:val="-3"/>
        </w:rPr>
        <w:t>content,</w:t>
      </w:r>
      <w:r>
        <w:rPr>
          <w:color w:val="231F20"/>
          <w:spacing w:val="-13"/>
        </w:rPr>
        <w:t> </w:t>
      </w:r>
      <w:r>
        <w:rPr>
          <w:color w:val="231F20"/>
        </w:rPr>
        <w:t>so</w:t>
      </w:r>
      <w:r>
        <w:rPr>
          <w:color w:val="231F20"/>
          <w:spacing w:val="-13"/>
        </w:rPr>
        <w:t> </w:t>
      </w:r>
      <w:r>
        <w:rPr>
          <w:color w:val="231F20"/>
          <w:spacing w:val="-3"/>
        </w:rPr>
        <w:t>that</w:t>
      </w:r>
      <w:r>
        <w:rPr>
          <w:color w:val="231F20"/>
          <w:spacing w:val="-13"/>
        </w:rPr>
        <w:t> </w:t>
      </w:r>
      <w:r>
        <w:rPr>
          <w:color w:val="231F20"/>
          <w:spacing w:val="-3"/>
        </w:rPr>
        <w:t>whether</w:t>
      </w:r>
      <w:r>
        <w:rPr>
          <w:color w:val="231F20"/>
          <w:spacing w:val="-14"/>
        </w:rPr>
        <w:t> </w:t>
      </w:r>
      <w:r>
        <w:rPr>
          <w:color w:val="231F20"/>
        </w:rPr>
        <w:t>at</w:t>
      </w:r>
      <w:r>
        <w:rPr>
          <w:color w:val="231F20"/>
          <w:spacing w:val="-13"/>
        </w:rPr>
        <w:t> </w:t>
      </w:r>
      <w:r>
        <w:rPr>
          <w:color w:val="231F20"/>
          <w:spacing w:val="-3"/>
        </w:rPr>
        <w:t>school</w:t>
      </w:r>
      <w:r>
        <w:rPr>
          <w:color w:val="231F20"/>
          <w:spacing w:val="-13"/>
        </w:rPr>
        <w:t> </w:t>
      </w:r>
      <w:r>
        <w:rPr>
          <w:color w:val="231F20"/>
        </w:rPr>
        <w:t>or</w:t>
      </w:r>
      <w:r>
        <w:rPr>
          <w:color w:val="231F20"/>
          <w:spacing w:val="-13"/>
        </w:rPr>
        <w:t> </w:t>
      </w:r>
      <w:r>
        <w:rPr>
          <w:color w:val="231F20"/>
        </w:rPr>
        <w:t>in</w:t>
      </w:r>
      <w:r>
        <w:rPr>
          <w:color w:val="231F20"/>
          <w:spacing w:val="-13"/>
        </w:rPr>
        <w:t> </w:t>
      </w:r>
      <w:r>
        <w:rPr>
          <w:color w:val="231F20"/>
        </w:rPr>
        <w:t>the</w:t>
      </w:r>
      <w:r>
        <w:rPr>
          <w:color w:val="231F20"/>
          <w:spacing w:val="-14"/>
        </w:rPr>
        <w:t> </w:t>
      </w:r>
      <w:r>
        <w:rPr>
          <w:color w:val="231F20"/>
          <w:spacing w:val="-4"/>
        </w:rPr>
        <w:t>privacy</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spacing w:val="-3"/>
        </w:rPr>
        <w:t>family </w:t>
      </w:r>
      <w:r>
        <w:rPr>
          <w:color w:val="231F20"/>
        </w:rPr>
        <w:t>home,</w:t>
      </w:r>
      <w:r>
        <w:rPr>
          <w:color w:val="231F20"/>
          <w:spacing w:val="-10"/>
        </w:rPr>
        <w:t> </w:t>
      </w:r>
      <w:r>
        <w:rPr>
          <w:color w:val="231F20"/>
        </w:rPr>
        <w:t>children</w:t>
      </w:r>
      <w:r>
        <w:rPr>
          <w:color w:val="231F20"/>
          <w:spacing w:val="-9"/>
        </w:rPr>
        <w:t> </w:t>
      </w:r>
      <w:r>
        <w:rPr>
          <w:color w:val="231F20"/>
        </w:rPr>
        <w:t>are</w:t>
      </w:r>
      <w:r>
        <w:rPr>
          <w:color w:val="231F20"/>
          <w:spacing w:val="-10"/>
        </w:rPr>
        <w:t> </w:t>
      </w:r>
      <w:r>
        <w:rPr>
          <w:color w:val="231F20"/>
        </w:rPr>
        <w:t>protected</w:t>
      </w:r>
      <w:r>
        <w:rPr>
          <w:color w:val="231F20"/>
          <w:spacing w:val="-9"/>
        </w:rPr>
        <w:t> </w:t>
      </w:r>
      <w:r>
        <w:rPr>
          <w:color w:val="231F20"/>
        </w:rPr>
        <w:t>from</w:t>
      </w:r>
      <w:r>
        <w:rPr>
          <w:color w:val="231F20"/>
          <w:spacing w:val="-10"/>
        </w:rPr>
        <w:t> </w:t>
      </w:r>
      <w:r>
        <w:rPr>
          <w:color w:val="231F20"/>
        </w:rPr>
        <w:t>damaging</w:t>
      </w:r>
      <w:r>
        <w:rPr>
          <w:color w:val="231F20"/>
          <w:spacing w:val="-9"/>
        </w:rPr>
        <w:t> </w:t>
      </w:r>
      <w:r>
        <w:rPr>
          <w:color w:val="231F20"/>
        </w:rPr>
        <w:t>material</w:t>
      </w:r>
      <w:r>
        <w:rPr>
          <w:color w:val="231F20"/>
          <w:spacing w:val="-10"/>
        </w:rPr>
        <w:t> </w:t>
      </w:r>
      <w:r>
        <w:rPr>
          <w:color w:val="231F20"/>
        </w:rPr>
        <w:t>that</w:t>
      </w:r>
      <w:r>
        <w:rPr>
          <w:color w:val="231F20"/>
          <w:spacing w:val="-9"/>
        </w:rPr>
        <w:t> </w:t>
      </w:r>
      <w:r>
        <w:rPr>
          <w:color w:val="231F20"/>
        </w:rPr>
        <w:t>can</w:t>
      </w:r>
      <w:r>
        <w:rPr>
          <w:color w:val="231F20"/>
          <w:spacing w:val="-9"/>
        </w:rPr>
        <w:t> </w:t>
      </w:r>
      <w:r>
        <w:rPr>
          <w:color w:val="231F20"/>
        </w:rPr>
        <w:t>overwhelm</w:t>
      </w:r>
      <w:r>
        <w:rPr>
          <w:color w:val="231F20"/>
          <w:spacing w:val="-10"/>
        </w:rPr>
        <w:t> </w:t>
      </w:r>
      <w:r>
        <w:rPr>
          <w:color w:val="231F20"/>
        </w:rPr>
        <w:t>and</w:t>
      </w:r>
      <w:r>
        <w:rPr>
          <w:color w:val="231F20"/>
          <w:spacing w:val="-9"/>
        </w:rPr>
        <w:t> </w:t>
      </w:r>
      <w:r>
        <w:rPr>
          <w:color w:val="231F20"/>
        </w:rPr>
        <w:t>in Pope Francis’ words ‘cripple our capacity for</w:t>
      </w:r>
      <w:r>
        <w:rPr>
          <w:color w:val="231F20"/>
          <w:spacing w:val="-1"/>
        </w:rPr>
        <w:t> </w:t>
      </w:r>
      <w:r>
        <w:rPr>
          <w:color w:val="231F20"/>
        </w:rPr>
        <w:t>love’.</w:t>
      </w:r>
    </w:p>
    <w:p>
      <w:pPr>
        <w:pStyle w:val="BodyText"/>
        <w:spacing w:before="2"/>
        <w:rPr>
          <w:rFonts w:ascii="Palatino Linotype"/>
          <w:sz w:val="26"/>
        </w:rPr>
      </w:pPr>
    </w:p>
    <w:p>
      <w:pPr>
        <w:pStyle w:val="Heading5"/>
        <w:spacing w:line="216" w:lineRule="auto"/>
        <w:ind w:left="804" w:right="754"/>
      </w:pPr>
      <w:r>
        <w:rPr>
          <w:color w:val="231F20"/>
        </w:rPr>
        <w:t>Besides words and pictures, love is communicated especially in our actions, </w:t>
      </w:r>
      <w:r>
        <w:rPr>
          <w:color w:val="231F20"/>
          <w:spacing w:val="-6"/>
        </w:rPr>
        <w:t>the </w:t>
      </w:r>
      <w:r>
        <w:rPr>
          <w:color w:val="231F20"/>
        </w:rPr>
        <w:t>highest</w:t>
      </w:r>
      <w:r>
        <w:rPr>
          <w:color w:val="231F20"/>
          <w:spacing w:val="-20"/>
        </w:rPr>
        <w:t> </w:t>
      </w:r>
      <w:r>
        <w:rPr>
          <w:color w:val="231F20"/>
        </w:rPr>
        <w:t>and</w:t>
      </w:r>
      <w:r>
        <w:rPr>
          <w:color w:val="231F20"/>
          <w:spacing w:val="-19"/>
        </w:rPr>
        <w:t> </w:t>
      </w:r>
      <w:r>
        <w:rPr>
          <w:color w:val="231F20"/>
        </w:rPr>
        <w:t>most</w:t>
      </w:r>
      <w:r>
        <w:rPr>
          <w:color w:val="231F20"/>
          <w:spacing w:val="-20"/>
        </w:rPr>
        <w:t> </w:t>
      </w:r>
      <w:r>
        <w:rPr>
          <w:color w:val="231F20"/>
        </w:rPr>
        <w:t>noble</w:t>
      </w:r>
      <w:r>
        <w:rPr>
          <w:color w:val="231F20"/>
          <w:spacing w:val="-19"/>
        </w:rPr>
        <w:t> </w:t>
      </w:r>
      <w:r>
        <w:rPr>
          <w:color w:val="231F20"/>
        </w:rPr>
        <w:t>of</w:t>
      </w:r>
      <w:r>
        <w:rPr>
          <w:color w:val="231F20"/>
          <w:spacing w:val="-20"/>
        </w:rPr>
        <w:t> </w:t>
      </w:r>
      <w:r>
        <w:rPr>
          <w:color w:val="231F20"/>
        </w:rPr>
        <w:t>which</w:t>
      </w:r>
      <w:r>
        <w:rPr>
          <w:color w:val="231F20"/>
          <w:spacing w:val="-19"/>
        </w:rPr>
        <w:t> </w:t>
      </w:r>
      <w:r>
        <w:rPr>
          <w:color w:val="231F20"/>
        </w:rPr>
        <w:t>is</w:t>
      </w:r>
      <w:r>
        <w:rPr>
          <w:color w:val="231F20"/>
          <w:spacing w:val="-20"/>
        </w:rPr>
        <w:t> </w:t>
      </w:r>
      <w:r>
        <w:rPr>
          <w:color w:val="231F20"/>
        </w:rPr>
        <w:t>sexual</w:t>
      </w:r>
      <w:r>
        <w:rPr>
          <w:color w:val="231F20"/>
          <w:spacing w:val="-19"/>
        </w:rPr>
        <w:t> </w:t>
      </w:r>
      <w:r>
        <w:rPr>
          <w:color w:val="231F20"/>
        </w:rPr>
        <w:t>intercourse.</w:t>
      </w:r>
      <w:r>
        <w:rPr>
          <w:color w:val="231F20"/>
          <w:spacing w:val="-20"/>
        </w:rPr>
        <w:t> </w:t>
      </w:r>
      <w:r>
        <w:rPr>
          <w:color w:val="231F20"/>
        </w:rPr>
        <w:t>In</w:t>
      </w:r>
      <w:r>
        <w:rPr>
          <w:color w:val="231F20"/>
          <w:spacing w:val="-19"/>
        </w:rPr>
        <w:t> </w:t>
      </w:r>
      <w:r>
        <w:rPr>
          <w:color w:val="231F20"/>
        </w:rPr>
        <w:t>us,</w:t>
      </w:r>
      <w:r>
        <w:rPr>
          <w:color w:val="231F20"/>
          <w:spacing w:val="-20"/>
        </w:rPr>
        <w:t> </w:t>
      </w:r>
      <w:r>
        <w:rPr>
          <w:color w:val="231F20"/>
        </w:rPr>
        <w:t>of</w:t>
      </w:r>
      <w:r>
        <w:rPr>
          <w:color w:val="231F20"/>
          <w:spacing w:val="-19"/>
        </w:rPr>
        <w:t> </w:t>
      </w:r>
      <w:r>
        <w:rPr>
          <w:color w:val="231F20"/>
        </w:rPr>
        <w:t>all</w:t>
      </w:r>
      <w:r>
        <w:rPr>
          <w:color w:val="231F20"/>
          <w:spacing w:val="-20"/>
        </w:rPr>
        <w:t> </w:t>
      </w:r>
      <w:r>
        <w:rPr>
          <w:color w:val="231F20"/>
        </w:rPr>
        <w:t>God's</w:t>
      </w:r>
      <w:r>
        <w:rPr>
          <w:color w:val="231F20"/>
          <w:spacing w:val="-19"/>
        </w:rPr>
        <w:t> </w:t>
      </w:r>
      <w:r>
        <w:rPr>
          <w:color w:val="231F20"/>
        </w:rPr>
        <w:t>creatures, sexual</w:t>
      </w:r>
      <w:r>
        <w:rPr>
          <w:color w:val="231F20"/>
          <w:spacing w:val="-11"/>
        </w:rPr>
        <w:t> </w:t>
      </w:r>
      <w:r>
        <w:rPr>
          <w:color w:val="231F20"/>
        </w:rPr>
        <w:t>intercourse</w:t>
      </w:r>
      <w:r>
        <w:rPr>
          <w:color w:val="231F20"/>
          <w:spacing w:val="-11"/>
        </w:rPr>
        <w:t> </w:t>
      </w:r>
      <w:r>
        <w:rPr>
          <w:color w:val="231F20"/>
        </w:rPr>
        <w:t>is</w:t>
      </w:r>
      <w:r>
        <w:rPr>
          <w:color w:val="231F20"/>
          <w:spacing w:val="-11"/>
        </w:rPr>
        <w:t> </w:t>
      </w:r>
      <w:r>
        <w:rPr>
          <w:color w:val="231F20"/>
        </w:rPr>
        <w:t>more</w:t>
      </w:r>
      <w:r>
        <w:rPr>
          <w:color w:val="231F20"/>
          <w:spacing w:val="-11"/>
        </w:rPr>
        <w:t> </w:t>
      </w:r>
      <w:r>
        <w:rPr>
          <w:color w:val="231F20"/>
        </w:rPr>
        <w:t>than</w:t>
      </w:r>
      <w:r>
        <w:rPr>
          <w:color w:val="231F20"/>
          <w:spacing w:val="-11"/>
        </w:rPr>
        <w:t> </w:t>
      </w:r>
      <w:r>
        <w:rPr>
          <w:color w:val="231F20"/>
        </w:rPr>
        <w:t>a</w:t>
      </w:r>
      <w:r>
        <w:rPr>
          <w:color w:val="231F20"/>
          <w:spacing w:val="-11"/>
        </w:rPr>
        <w:t> </w:t>
      </w:r>
      <w:r>
        <w:rPr>
          <w:color w:val="231F20"/>
        </w:rPr>
        <w:t>means</w:t>
      </w:r>
      <w:r>
        <w:rPr>
          <w:color w:val="231F20"/>
          <w:spacing w:val="-11"/>
        </w:rPr>
        <w:t> </w:t>
      </w:r>
      <w:r>
        <w:rPr>
          <w:color w:val="231F20"/>
        </w:rPr>
        <w:t>to</w:t>
      </w:r>
      <w:r>
        <w:rPr>
          <w:color w:val="231F20"/>
          <w:spacing w:val="-11"/>
        </w:rPr>
        <w:t> </w:t>
      </w:r>
      <w:r>
        <w:rPr>
          <w:color w:val="231F20"/>
        </w:rPr>
        <w:t>generate</w:t>
      </w:r>
      <w:r>
        <w:rPr>
          <w:color w:val="231F20"/>
          <w:spacing w:val="-11"/>
        </w:rPr>
        <w:t> </w:t>
      </w:r>
      <w:r>
        <w:rPr>
          <w:color w:val="231F20"/>
        </w:rPr>
        <w:t>new</w:t>
      </w:r>
      <w:r>
        <w:rPr>
          <w:color w:val="231F20"/>
          <w:spacing w:val="-11"/>
        </w:rPr>
        <w:t> </w:t>
      </w:r>
      <w:r>
        <w:rPr>
          <w:color w:val="231F20"/>
        </w:rPr>
        <w:t>life.</w:t>
      </w:r>
      <w:r>
        <w:rPr>
          <w:color w:val="231F20"/>
          <w:spacing w:val="-11"/>
        </w:rPr>
        <w:t> </w:t>
      </w:r>
      <w:r>
        <w:rPr>
          <w:color w:val="231F20"/>
        </w:rPr>
        <w:t>In</w:t>
      </w:r>
      <w:r>
        <w:rPr>
          <w:color w:val="231F20"/>
          <w:spacing w:val="-11"/>
        </w:rPr>
        <w:t> </w:t>
      </w:r>
      <w:r>
        <w:rPr>
          <w:color w:val="231F20"/>
        </w:rPr>
        <w:t>us,</w:t>
      </w:r>
      <w:r>
        <w:rPr>
          <w:color w:val="231F20"/>
          <w:spacing w:val="-11"/>
        </w:rPr>
        <w:t> </w:t>
      </w:r>
      <w:r>
        <w:rPr>
          <w:color w:val="231F20"/>
        </w:rPr>
        <w:t>the</w:t>
      </w:r>
      <w:r>
        <w:rPr>
          <w:color w:val="231F20"/>
          <w:spacing w:val="-11"/>
        </w:rPr>
        <w:t> </w:t>
      </w:r>
      <w:r>
        <w:rPr>
          <w:color w:val="231F20"/>
        </w:rPr>
        <w:t>creation</w:t>
      </w:r>
      <w:r>
        <w:rPr>
          <w:color w:val="231F20"/>
          <w:spacing w:val="-11"/>
        </w:rPr>
        <w:t> </w:t>
      </w:r>
      <w:r>
        <w:rPr>
          <w:color w:val="231F20"/>
        </w:rPr>
        <w:t>of new life comes as a consequence of the expression of desire.</w:t>
      </w:r>
    </w:p>
    <w:p>
      <w:pPr>
        <w:pStyle w:val="BodyText"/>
        <w:spacing w:before="10"/>
        <w:rPr>
          <w:rFonts w:ascii="Palatino Linotype"/>
          <w:sz w:val="25"/>
        </w:rPr>
      </w:pPr>
    </w:p>
    <w:p>
      <w:pPr>
        <w:pStyle w:val="Heading5"/>
        <w:spacing w:line="216" w:lineRule="auto"/>
        <w:ind w:left="803" w:right="754"/>
      </w:pPr>
      <w:r>
        <w:rPr>
          <w:color w:val="231F20"/>
          <w:spacing w:val="-10"/>
        </w:rPr>
        <w:t>We </w:t>
      </w:r>
      <w:r>
        <w:rPr>
          <w:color w:val="231F20"/>
        </w:rPr>
        <w:t>are driven by desires, which escalate from simple biological desires such </w:t>
      </w:r>
      <w:r>
        <w:rPr>
          <w:color w:val="231F20"/>
          <w:spacing w:val="-6"/>
        </w:rPr>
        <w:t>as </w:t>
      </w:r>
      <w:r>
        <w:rPr>
          <w:color w:val="231F20"/>
        </w:rPr>
        <w:t>for food and drink, through the desire to acquire material goods for our well-being,</w:t>
      </w:r>
      <w:r>
        <w:rPr>
          <w:color w:val="231F20"/>
          <w:spacing w:val="-9"/>
        </w:rPr>
        <w:t> </w:t>
      </w:r>
      <w:r>
        <w:rPr>
          <w:color w:val="231F20"/>
        </w:rPr>
        <w:t>to</w:t>
      </w:r>
      <w:r>
        <w:rPr>
          <w:color w:val="231F20"/>
          <w:spacing w:val="-9"/>
        </w:rPr>
        <w:t> </w:t>
      </w:r>
      <w:r>
        <w:rPr>
          <w:color w:val="231F20"/>
        </w:rPr>
        <w:t>the</w:t>
      </w:r>
      <w:r>
        <w:rPr>
          <w:color w:val="231F20"/>
          <w:spacing w:val="-8"/>
        </w:rPr>
        <w:t> </w:t>
      </w:r>
      <w:r>
        <w:rPr>
          <w:color w:val="231F20"/>
        </w:rPr>
        <w:t>higher</w:t>
      </w:r>
      <w:r>
        <w:rPr>
          <w:color w:val="231F20"/>
          <w:spacing w:val="-9"/>
        </w:rPr>
        <w:t> </w:t>
      </w:r>
      <w:r>
        <w:rPr>
          <w:color w:val="231F20"/>
        </w:rPr>
        <w:t>desire</w:t>
      </w:r>
      <w:r>
        <w:rPr>
          <w:color w:val="231F20"/>
          <w:spacing w:val="-8"/>
        </w:rPr>
        <w:t> </w:t>
      </w:r>
      <w:r>
        <w:rPr>
          <w:color w:val="231F20"/>
        </w:rPr>
        <w:t>of</w:t>
      </w:r>
      <w:r>
        <w:rPr>
          <w:color w:val="231F20"/>
          <w:spacing w:val="-9"/>
        </w:rPr>
        <w:t> </w:t>
      </w:r>
      <w:r>
        <w:rPr>
          <w:color w:val="231F20"/>
        </w:rPr>
        <w:t>acquiring</w:t>
      </w:r>
      <w:r>
        <w:rPr>
          <w:color w:val="231F20"/>
          <w:spacing w:val="-9"/>
        </w:rPr>
        <w:t> </w:t>
      </w:r>
      <w:r>
        <w:rPr>
          <w:color w:val="231F20"/>
        </w:rPr>
        <w:t>talents</w:t>
      </w:r>
      <w:r>
        <w:rPr>
          <w:color w:val="231F20"/>
          <w:spacing w:val="-8"/>
        </w:rPr>
        <w:t> </w:t>
      </w:r>
      <w:r>
        <w:rPr>
          <w:color w:val="231F20"/>
        </w:rPr>
        <w:t>and</w:t>
      </w:r>
      <w:r>
        <w:rPr>
          <w:color w:val="231F20"/>
          <w:spacing w:val="-9"/>
        </w:rPr>
        <w:t> </w:t>
      </w:r>
      <w:r>
        <w:rPr>
          <w:color w:val="231F20"/>
        </w:rPr>
        <w:t>virtues,</w:t>
      </w:r>
      <w:r>
        <w:rPr>
          <w:color w:val="231F20"/>
          <w:spacing w:val="-8"/>
        </w:rPr>
        <w:t> </w:t>
      </w:r>
      <w:r>
        <w:rPr>
          <w:color w:val="231F20"/>
        </w:rPr>
        <w:t>up</w:t>
      </w:r>
      <w:r>
        <w:rPr>
          <w:color w:val="231F20"/>
          <w:spacing w:val="-9"/>
        </w:rPr>
        <w:t> </w:t>
      </w:r>
      <w:r>
        <w:rPr>
          <w:color w:val="231F20"/>
        </w:rPr>
        <w:t>to</w:t>
      </w:r>
      <w:r>
        <w:rPr>
          <w:color w:val="231F20"/>
          <w:spacing w:val="-9"/>
        </w:rPr>
        <w:t> </w:t>
      </w:r>
      <w:r>
        <w:rPr>
          <w:color w:val="231F20"/>
        </w:rPr>
        <w:t>the</w:t>
      </w:r>
      <w:r>
        <w:rPr>
          <w:color w:val="231F20"/>
          <w:spacing w:val="-8"/>
        </w:rPr>
        <w:t> </w:t>
      </w:r>
      <w:r>
        <w:rPr>
          <w:color w:val="231F20"/>
        </w:rPr>
        <w:t>summit of all desires, which is to</w:t>
      </w:r>
      <w:r>
        <w:rPr>
          <w:color w:val="231F20"/>
          <w:spacing w:val="-1"/>
        </w:rPr>
        <w:t> </w:t>
      </w:r>
      <w:r>
        <w:rPr>
          <w:color w:val="231F20"/>
        </w:rPr>
        <w:t>love:</w:t>
      </w:r>
    </w:p>
    <w:p>
      <w:pPr>
        <w:pStyle w:val="Heading6"/>
        <w:spacing w:line="216" w:lineRule="auto" w:before="157"/>
        <w:ind w:left="1012" w:right="755" w:firstLine="761"/>
      </w:pPr>
      <w:r>
        <w:rPr>
          <w:i/>
          <w:color w:val="231F20"/>
        </w:rPr>
        <w:t>Earnestly desire the higher gifts. And I will show you a still more</w:t>
      </w:r>
      <w:r>
        <w:rPr>
          <w:i/>
          <w:color w:val="231F20"/>
          <w:spacing w:val="-25"/>
        </w:rPr>
        <w:t> </w:t>
      </w:r>
      <w:r>
        <w:rPr>
          <w:i/>
          <w:color w:val="231F20"/>
        </w:rPr>
        <w:t>excellent</w:t>
      </w:r>
      <w:r>
        <w:rPr>
          <w:i/>
          <w:color w:val="231F20"/>
          <w:spacing w:val="-1"/>
        </w:rPr>
        <w:t> </w:t>
      </w:r>
      <w:r>
        <w:rPr>
          <w:i/>
          <w:color w:val="231F20"/>
        </w:rPr>
        <w:t>way.</w:t>
      </w:r>
      <w:r>
        <w:rPr>
          <w:color w:val="231F20"/>
        </w:rPr>
        <w:t> If I speak in the tongues of men and of angels, but have not love, I am a noisy gong or</w:t>
      </w:r>
      <w:r>
        <w:rPr>
          <w:color w:val="231F20"/>
          <w:spacing w:val="-21"/>
        </w:rPr>
        <w:t> </w:t>
      </w:r>
      <w:r>
        <w:rPr>
          <w:color w:val="231F20"/>
        </w:rPr>
        <w:t>a</w:t>
      </w:r>
    </w:p>
    <w:p>
      <w:pPr>
        <w:pStyle w:val="Heading6"/>
        <w:spacing w:line="216" w:lineRule="auto" w:before="2"/>
        <w:ind w:left="1006" w:right="756" w:firstLine="7833"/>
      </w:pPr>
      <w:r>
        <w:rPr>
          <w:i/>
          <w:color w:val="231F20"/>
        </w:rPr>
        <w:t>clanging</w:t>
      </w:r>
      <w:r>
        <w:rPr>
          <w:i/>
          <w:color w:val="231F20"/>
          <w:spacing w:val="2"/>
        </w:rPr>
        <w:t> </w:t>
      </w:r>
      <w:r>
        <w:rPr>
          <w:i/>
          <w:color w:val="231F20"/>
          <w:spacing w:val="-3"/>
        </w:rPr>
        <w:t>cymbal.</w:t>
      </w:r>
      <w:r>
        <w:rPr>
          <w:color w:val="231F20"/>
        </w:rPr>
        <w:t> And if I have prophetic powers, and understand all mysteries and all knowledge,</w:t>
      </w:r>
      <w:r>
        <w:rPr>
          <w:color w:val="231F20"/>
          <w:spacing w:val="-23"/>
        </w:rPr>
        <w:t> </w:t>
      </w:r>
      <w:r>
        <w:rPr>
          <w:color w:val="231F20"/>
        </w:rPr>
        <w:t>and</w:t>
      </w:r>
      <w:r>
        <w:rPr>
          <w:color w:val="231F20"/>
          <w:spacing w:val="-1"/>
        </w:rPr>
        <w:t> </w:t>
      </w:r>
      <w:r>
        <w:rPr>
          <w:color w:val="231F20"/>
        </w:rPr>
        <w:t>if I have all faith, so as to remove mountains, but have not love, I am nothing. If</w:t>
      </w:r>
      <w:r>
        <w:rPr>
          <w:color w:val="231F20"/>
          <w:spacing w:val="-34"/>
        </w:rPr>
        <w:t> </w:t>
      </w:r>
      <w:r>
        <w:rPr>
          <w:color w:val="231F20"/>
        </w:rPr>
        <w:t>I</w:t>
      </w:r>
      <w:r>
        <w:rPr>
          <w:color w:val="231F20"/>
          <w:spacing w:val="-1"/>
        </w:rPr>
        <w:t> </w:t>
      </w:r>
      <w:r>
        <w:rPr>
          <w:color w:val="231F20"/>
        </w:rPr>
        <w:t>give </w:t>
      </w:r>
      <w:r>
        <w:rPr>
          <w:color w:val="231F20"/>
          <w:spacing w:val="-3"/>
        </w:rPr>
        <w:t>away </w:t>
      </w:r>
      <w:r>
        <w:rPr>
          <w:color w:val="231F20"/>
        </w:rPr>
        <w:t>all I have, and if I deliver my body to be burned but have not love, I gain</w:t>
      </w:r>
      <w:r>
        <w:rPr>
          <w:color w:val="231F20"/>
          <w:spacing w:val="-24"/>
        </w:rPr>
        <w:t> </w:t>
      </w:r>
      <w:r>
        <w:rPr>
          <w:color w:val="231F20"/>
        </w:rPr>
        <w:t>nothing.</w:t>
      </w:r>
    </w:p>
    <w:p>
      <w:pPr>
        <w:pStyle w:val="Heading5"/>
        <w:spacing w:line="354" w:lineRule="exact"/>
        <w:ind w:right="755"/>
        <w:jc w:val="right"/>
      </w:pPr>
      <w:r>
        <w:rPr>
          <w:color w:val="231F20"/>
        </w:rPr>
        <w:t>1 Corinthians 12:31-13:3</w:t>
      </w:r>
    </w:p>
    <w:p>
      <w:pPr>
        <w:spacing w:after="0" w:line="354" w:lineRule="exact"/>
        <w:jc w:val="right"/>
        <w:sectPr>
          <w:headerReference w:type="default" r:id="rId141"/>
          <w:footerReference w:type="default" r:id="rId142"/>
          <w:pgSz w:w="11910" w:h="16840"/>
          <w:pgMar w:header="0" w:footer="1136" w:top="1360" w:bottom="1320" w:left="160" w:right="220"/>
          <w:pgNumType w:start="11"/>
        </w:sectPr>
      </w:pPr>
    </w:p>
    <w:p>
      <w:pPr>
        <w:pStyle w:val="Heading5"/>
        <w:spacing w:line="216" w:lineRule="auto" w:before="102"/>
        <w:ind w:left="785" w:right="773"/>
      </w:pPr>
      <w:r>
        <w:rPr>
          <w:color w:val="231F20"/>
        </w:rPr>
        <w:t>In writing this passage to the Corinthians, St. Paul presupposes that they are already mastering their desires, trying to acquire an appetite for the ‘higher things’.</w:t>
      </w:r>
      <w:r>
        <w:rPr>
          <w:color w:val="231F20"/>
          <w:spacing w:val="-22"/>
        </w:rPr>
        <w:t> </w:t>
      </w:r>
      <w:r>
        <w:rPr>
          <w:color w:val="231F20"/>
          <w:spacing w:val="-11"/>
        </w:rPr>
        <w:t>We</w:t>
      </w:r>
      <w:r>
        <w:rPr>
          <w:color w:val="231F20"/>
          <w:spacing w:val="-22"/>
        </w:rPr>
        <w:t> </w:t>
      </w:r>
      <w:r>
        <w:rPr>
          <w:color w:val="231F20"/>
        </w:rPr>
        <w:t>too</w:t>
      </w:r>
      <w:r>
        <w:rPr>
          <w:color w:val="231F20"/>
          <w:spacing w:val="-22"/>
        </w:rPr>
        <w:t> </w:t>
      </w:r>
      <w:r>
        <w:rPr>
          <w:color w:val="231F20"/>
        </w:rPr>
        <w:t>learn</w:t>
      </w:r>
      <w:r>
        <w:rPr>
          <w:color w:val="231F20"/>
          <w:spacing w:val="-22"/>
        </w:rPr>
        <w:t> </w:t>
      </w:r>
      <w:r>
        <w:rPr>
          <w:color w:val="231F20"/>
        </w:rPr>
        <w:t>to</w:t>
      </w:r>
      <w:r>
        <w:rPr>
          <w:color w:val="231F20"/>
          <w:spacing w:val="-22"/>
        </w:rPr>
        <w:t> </w:t>
      </w:r>
      <w:r>
        <w:rPr>
          <w:color w:val="231F20"/>
        </w:rPr>
        <w:t>acquire</w:t>
      </w:r>
      <w:r>
        <w:rPr>
          <w:color w:val="231F20"/>
          <w:spacing w:val="-22"/>
        </w:rPr>
        <w:t> </w:t>
      </w:r>
      <w:r>
        <w:rPr>
          <w:color w:val="231F20"/>
        </w:rPr>
        <w:t>appetites</w:t>
      </w:r>
      <w:r>
        <w:rPr>
          <w:color w:val="231F20"/>
          <w:spacing w:val="-22"/>
        </w:rPr>
        <w:t> </w:t>
      </w:r>
      <w:r>
        <w:rPr>
          <w:color w:val="231F20"/>
        </w:rPr>
        <w:t>for</w:t>
      </w:r>
      <w:r>
        <w:rPr>
          <w:color w:val="231F20"/>
          <w:spacing w:val="-22"/>
        </w:rPr>
        <w:t> </w:t>
      </w:r>
      <w:r>
        <w:rPr>
          <w:color w:val="231F20"/>
        </w:rPr>
        <w:t>things</w:t>
      </w:r>
      <w:r>
        <w:rPr>
          <w:color w:val="231F20"/>
          <w:spacing w:val="-22"/>
        </w:rPr>
        <w:t> </w:t>
      </w:r>
      <w:r>
        <w:rPr>
          <w:color w:val="231F20"/>
        </w:rPr>
        <w:t>which</w:t>
      </w:r>
      <w:r>
        <w:rPr>
          <w:color w:val="231F20"/>
          <w:spacing w:val="-22"/>
        </w:rPr>
        <w:t> </w:t>
      </w:r>
      <w:r>
        <w:rPr>
          <w:color w:val="231F20"/>
        </w:rPr>
        <w:t>don’t</w:t>
      </w:r>
      <w:r>
        <w:rPr>
          <w:color w:val="231F20"/>
          <w:spacing w:val="-22"/>
        </w:rPr>
        <w:t> </w:t>
      </w:r>
      <w:r>
        <w:rPr>
          <w:color w:val="231F20"/>
        </w:rPr>
        <w:t>immediately</w:t>
      </w:r>
      <w:r>
        <w:rPr>
          <w:color w:val="231F20"/>
          <w:spacing w:val="-22"/>
        </w:rPr>
        <w:t> </w:t>
      </w:r>
      <w:r>
        <w:rPr>
          <w:color w:val="231F20"/>
        </w:rPr>
        <w:t>seem desirable:</w:t>
      </w:r>
      <w:r>
        <w:rPr>
          <w:color w:val="231F20"/>
          <w:spacing w:val="-17"/>
        </w:rPr>
        <w:t> </w:t>
      </w:r>
      <w:r>
        <w:rPr>
          <w:color w:val="231F20"/>
        </w:rPr>
        <w:t>the</w:t>
      </w:r>
      <w:r>
        <w:rPr>
          <w:color w:val="231F20"/>
          <w:spacing w:val="-16"/>
        </w:rPr>
        <w:t> </w:t>
      </w:r>
      <w:r>
        <w:rPr>
          <w:color w:val="231F20"/>
        </w:rPr>
        <w:t>desire</w:t>
      </w:r>
      <w:r>
        <w:rPr>
          <w:color w:val="231F20"/>
          <w:spacing w:val="-16"/>
        </w:rPr>
        <w:t> </w:t>
      </w:r>
      <w:r>
        <w:rPr>
          <w:color w:val="231F20"/>
        </w:rPr>
        <w:t>to</w:t>
      </w:r>
      <w:r>
        <w:rPr>
          <w:color w:val="231F20"/>
          <w:spacing w:val="-16"/>
        </w:rPr>
        <w:t> </w:t>
      </w:r>
      <w:r>
        <w:rPr>
          <w:color w:val="231F20"/>
        </w:rPr>
        <w:t>take</w:t>
      </w:r>
      <w:r>
        <w:rPr>
          <w:color w:val="231F20"/>
          <w:spacing w:val="-16"/>
        </w:rPr>
        <w:t> </w:t>
      </w:r>
      <w:r>
        <w:rPr>
          <w:color w:val="231F20"/>
        </w:rPr>
        <w:t>exercise</w:t>
      </w:r>
      <w:r>
        <w:rPr>
          <w:color w:val="231F20"/>
          <w:spacing w:val="-16"/>
        </w:rPr>
        <w:t> </w:t>
      </w:r>
      <w:r>
        <w:rPr>
          <w:color w:val="231F20"/>
        </w:rPr>
        <w:t>for</w:t>
      </w:r>
      <w:r>
        <w:rPr>
          <w:color w:val="231F20"/>
          <w:spacing w:val="-17"/>
        </w:rPr>
        <w:t> </w:t>
      </w:r>
      <w:r>
        <w:rPr>
          <w:color w:val="231F20"/>
        </w:rPr>
        <w:t>example.</w:t>
      </w:r>
      <w:r>
        <w:rPr>
          <w:color w:val="231F20"/>
          <w:spacing w:val="-16"/>
        </w:rPr>
        <w:t> </w:t>
      </w:r>
      <w:r>
        <w:rPr>
          <w:color w:val="231F20"/>
        </w:rPr>
        <w:t>Such</w:t>
      </w:r>
      <w:r>
        <w:rPr>
          <w:color w:val="231F20"/>
          <w:spacing w:val="-16"/>
        </w:rPr>
        <w:t> </w:t>
      </w:r>
      <w:r>
        <w:rPr>
          <w:color w:val="231F20"/>
        </w:rPr>
        <w:t>a</w:t>
      </w:r>
      <w:r>
        <w:rPr>
          <w:color w:val="231F20"/>
          <w:spacing w:val="-16"/>
        </w:rPr>
        <w:t> </w:t>
      </w:r>
      <w:r>
        <w:rPr>
          <w:color w:val="231F20"/>
        </w:rPr>
        <w:t>desire</w:t>
      </w:r>
      <w:r>
        <w:rPr>
          <w:color w:val="231F20"/>
          <w:spacing w:val="-16"/>
        </w:rPr>
        <w:t> </w:t>
      </w:r>
      <w:r>
        <w:rPr>
          <w:color w:val="231F20"/>
        </w:rPr>
        <w:t>is</w:t>
      </w:r>
      <w:r>
        <w:rPr>
          <w:color w:val="231F20"/>
          <w:spacing w:val="-16"/>
        </w:rPr>
        <w:t> </w:t>
      </w:r>
      <w:r>
        <w:rPr>
          <w:color w:val="231F20"/>
        </w:rPr>
        <w:t>acquired</w:t>
      </w:r>
      <w:r>
        <w:rPr>
          <w:color w:val="231F20"/>
          <w:spacing w:val="-17"/>
        </w:rPr>
        <w:t> </w:t>
      </w:r>
      <w:r>
        <w:rPr>
          <w:color w:val="231F20"/>
        </w:rPr>
        <w:t>though controlling our natural instincts in order to satisfy a greater desire, which in </w:t>
      </w:r>
      <w:r>
        <w:rPr>
          <w:color w:val="231F20"/>
          <w:spacing w:val="-4"/>
        </w:rPr>
        <w:t>this </w:t>
      </w:r>
      <w:r>
        <w:rPr>
          <w:color w:val="231F20"/>
        </w:rPr>
        <w:t>case might be to feel or look healthy.</w:t>
      </w:r>
    </w:p>
    <w:p>
      <w:pPr>
        <w:pStyle w:val="BodyText"/>
        <w:spacing w:before="13"/>
        <w:rPr>
          <w:rFonts w:ascii="Palatino Linotype"/>
          <w:sz w:val="25"/>
        </w:rPr>
      </w:pPr>
    </w:p>
    <w:p>
      <w:pPr>
        <w:pStyle w:val="Heading5"/>
        <w:spacing w:line="216" w:lineRule="auto"/>
        <w:ind w:left="785" w:right="773"/>
      </w:pPr>
      <w:r>
        <w:rPr>
          <w:color w:val="231F20"/>
        </w:rPr>
        <w:t>Our innate desire to express love in the act of ‘making love’, is natural and good but,</w:t>
      </w:r>
      <w:r>
        <w:rPr>
          <w:color w:val="231F20"/>
          <w:spacing w:val="-10"/>
        </w:rPr>
        <w:t> </w:t>
      </w:r>
      <w:r>
        <w:rPr>
          <w:color w:val="231F20"/>
        </w:rPr>
        <w:t>like</w:t>
      </w:r>
      <w:r>
        <w:rPr>
          <w:color w:val="231F20"/>
          <w:spacing w:val="-10"/>
        </w:rPr>
        <w:t> </w:t>
      </w:r>
      <w:r>
        <w:rPr>
          <w:color w:val="231F20"/>
        </w:rPr>
        <w:t>all</w:t>
      </w:r>
      <w:r>
        <w:rPr>
          <w:color w:val="231F20"/>
          <w:spacing w:val="-10"/>
        </w:rPr>
        <w:t> </w:t>
      </w:r>
      <w:r>
        <w:rPr>
          <w:color w:val="231F20"/>
        </w:rPr>
        <w:t>of</w:t>
      </w:r>
      <w:r>
        <w:rPr>
          <w:color w:val="231F20"/>
          <w:spacing w:val="-10"/>
        </w:rPr>
        <w:t> </w:t>
      </w:r>
      <w:r>
        <w:rPr>
          <w:color w:val="231F20"/>
        </w:rPr>
        <w:t>our</w:t>
      </w:r>
      <w:r>
        <w:rPr>
          <w:color w:val="231F20"/>
          <w:spacing w:val="-9"/>
        </w:rPr>
        <w:t> </w:t>
      </w:r>
      <w:r>
        <w:rPr>
          <w:color w:val="231F20"/>
        </w:rPr>
        <w:t>desires,</w:t>
      </w:r>
      <w:r>
        <w:rPr>
          <w:color w:val="231F20"/>
          <w:spacing w:val="-10"/>
        </w:rPr>
        <w:t> </w:t>
      </w:r>
      <w:r>
        <w:rPr>
          <w:color w:val="231F20"/>
        </w:rPr>
        <w:t>it</w:t>
      </w:r>
      <w:r>
        <w:rPr>
          <w:color w:val="231F20"/>
          <w:spacing w:val="-10"/>
        </w:rPr>
        <w:t> </w:t>
      </w:r>
      <w:r>
        <w:rPr>
          <w:color w:val="231F20"/>
        </w:rPr>
        <w:t>too</w:t>
      </w:r>
      <w:r>
        <w:rPr>
          <w:color w:val="231F20"/>
          <w:spacing w:val="-10"/>
        </w:rPr>
        <w:t> </w:t>
      </w:r>
      <w:r>
        <w:rPr>
          <w:color w:val="231F20"/>
        </w:rPr>
        <w:t>needs</w:t>
      </w:r>
      <w:r>
        <w:rPr>
          <w:color w:val="231F20"/>
          <w:spacing w:val="-9"/>
        </w:rPr>
        <w:t> </w:t>
      </w:r>
      <w:r>
        <w:rPr>
          <w:color w:val="231F20"/>
        </w:rPr>
        <w:t>to</w:t>
      </w:r>
      <w:r>
        <w:rPr>
          <w:color w:val="231F20"/>
          <w:spacing w:val="-10"/>
        </w:rPr>
        <w:t> </w:t>
      </w:r>
      <w:r>
        <w:rPr>
          <w:color w:val="231F20"/>
        </w:rPr>
        <w:t>be</w:t>
      </w:r>
      <w:r>
        <w:rPr>
          <w:color w:val="231F20"/>
          <w:spacing w:val="-10"/>
        </w:rPr>
        <w:t> </w:t>
      </w:r>
      <w:r>
        <w:rPr>
          <w:color w:val="231F20"/>
        </w:rPr>
        <w:t>owned</w:t>
      </w:r>
      <w:r>
        <w:rPr>
          <w:color w:val="231F20"/>
          <w:spacing w:val="-10"/>
        </w:rPr>
        <w:t> </w:t>
      </w:r>
      <w:r>
        <w:rPr>
          <w:color w:val="231F20"/>
        </w:rPr>
        <w:t>and</w:t>
      </w:r>
      <w:r>
        <w:rPr>
          <w:color w:val="231F20"/>
          <w:spacing w:val="-9"/>
        </w:rPr>
        <w:t> </w:t>
      </w:r>
      <w:r>
        <w:rPr>
          <w:color w:val="231F20"/>
        </w:rPr>
        <w:t>oriented</w:t>
      </w:r>
      <w:r>
        <w:rPr>
          <w:color w:val="231F20"/>
          <w:spacing w:val="-10"/>
        </w:rPr>
        <w:t> </w:t>
      </w:r>
      <w:r>
        <w:rPr>
          <w:color w:val="231F20"/>
        </w:rPr>
        <w:t>to</w:t>
      </w:r>
      <w:r>
        <w:rPr>
          <w:color w:val="231F20"/>
          <w:spacing w:val="-10"/>
        </w:rPr>
        <w:t> </w:t>
      </w:r>
      <w:r>
        <w:rPr>
          <w:color w:val="231F20"/>
        </w:rPr>
        <w:t>a</w:t>
      </w:r>
      <w:r>
        <w:rPr>
          <w:color w:val="231F20"/>
          <w:spacing w:val="-10"/>
        </w:rPr>
        <w:t> </w:t>
      </w:r>
      <w:r>
        <w:rPr>
          <w:color w:val="231F20"/>
        </w:rPr>
        <w:t>higher</w:t>
      </w:r>
      <w:r>
        <w:rPr>
          <w:color w:val="231F20"/>
          <w:spacing w:val="-9"/>
        </w:rPr>
        <w:t> </w:t>
      </w:r>
      <w:r>
        <w:rPr>
          <w:color w:val="231F20"/>
          <w:spacing w:val="-4"/>
        </w:rPr>
        <w:t>good. </w:t>
      </w:r>
      <w:r>
        <w:rPr>
          <w:color w:val="231F20"/>
        </w:rPr>
        <w:t>To accomplish this, </w:t>
      </w:r>
      <w:r>
        <w:rPr>
          <w:color w:val="231F20"/>
          <w:spacing w:val="-3"/>
        </w:rPr>
        <w:t>we </w:t>
      </w:r>
      <w:r>
        <w:rPr>
          <w:color w:val="231F20"/>
        </w:rPr>
        <w:t>need to learn the art of being patient and self-controlled. </w:t>
      </w:r>
      <w:r>
        <w:rPr>
          <w:color w:val="231F20"/>
          <w:spacing w:val="-3"/>
        </w:rPr>
        <w:t>Patience</w:t>
      </w:r>
      <w:r>
        <w:rPr>
          <w:color w:val="231F20"/>
          <w:spacing w:val="-21"/>
        </w:rPr>
        <w:t> </w:t>
      </w:r>
      <w:r>
        <w:rPr>
          <w:color w:val="231F20"/>
        </w:rPr>
        <w:t>isn't</w:t>
      </w:r>
      <w:r>
        <w:rPr>
          <w:color w:val="231F20"/>
          <w:spacing w:val="-21"/>
        </w:rPr>
        <w:t> </w:t>
      </w:r>
      <w:r>
        <w:rPr>
          <w:color w:val="231F20"/>
        </w:rPr>
        <w:t>something</w:t>
      </w:r>
      <w:r>
        <w:rPr>
          <w:color w:val="231F20"/>
          <w:spacing w:val="-20"/>
        </w:rPr>
        <w:t> </w:t>
      </w:r>
      <w:r>
        <w:rPr>
          <w:color w:val="231F20"/>
        </w:rPr>
        <w:t>that</w:t>
      </w:r>
      <w:r>
        <w:rPr>
          <w:color w:val="231F20"/>
          <w:spacing w:val="-21"/>
        </w:rPr>
        <w:t> </w:t>
      </w:r>
      <w:r>
        <w:rPr>
          <w:color w:val="231F20"/>
        </w:rPr>
        <w:t>comes</w:t>
      </w:r>
      <w:r>
        <w:rPr>
          <w:color w:val="231F20"/>
          <w:spacing w:val="-21"/>
        </w:rPr>
        <w:t> </w:t>
      </w:r>
      <w:r>
        <w:rPr>
          <w:color w:val="231F20"/>
        </w:rPr>
        <w:t>naturally</w:t>
      </w:r>
      <w:r>
        <w:rPr>
          <w:color w:val="231F20"/>
          <w:spacing w:val="-20"/>
        </w:rPr>
        <w:t> </w:t>
      </w:r>
      <w:r>
        <w:rPr>
          <w:color w:val="231F20"/>
        </w:rPr>
        <w:t>to</w:t>
      </w:r>
      <w:r>
        <w:rPr>
          <w:color w:val="231F20"/>
          <w:spacing w:val="-21"/>
        </w:rPr>
        <w:t> </w:t>
      </w:r>
      <w:r>
        <w:rPr>
          <w:color w:val="231F20"/>
        </w:rPr>
        <w:t>us,</w:t>
      </w:r>
      <w:r>
        <w:rPr>
          <w:color w:val="231F20"/>
          <w:spacing w:val="-21"/>
        </w:rPr>
        <w:t> </w:t>
      </w:r>
      <w:r>
        <w:rPr>
          <w:color w:val="231F20"/>
        </w:rPr>
        <w:t>especially</w:t>
      </w:r>
      <w:r>
        <w:rPr>
          <w:color w:val="231F20"/>
          <w:spacing w:val="-20"/>
        </w:rPr>
        <w:t> </w:t>
      </w:r>
      <w:r>
        <w:rPr>
          <w:color w:val="231F20"/>
        </w:rPr>
        <w:t>when</w:t>
      </w:r>
      <w:r>
        <w:rPr>
          <w:color w:val="231F20"/>
          <w:spacing w:val="-21"/>
        </w:rPr>
        <w:t> </w:t>
      </w:r>
      <w:r>
        <w:rPr>
          <w:color w:val="231F20"/>
          <w:spacing w:val="-4"/>
        </w:rPr>
        <w:t>we</w:t>
      </w:r>
      <w:r>
        <w:rPr>
          <w:color w:val="231F20"/>
          <w:spacing w:val="-21"/>
        </w:rPr>
        <w:t> </w:t>
      </w:r>
      <w:r>
        <w:rPr>
          <w:color w:val="231F20"/>
        </w:rPr>
        <w:t>are</w:t>
      </w:r>
      <w:r>
        <w:rPr>
          <w:color w:val="231F20"/>
          <w:spacing w:val="-20"/>
        </w:rPr>
        <w:t> </w:t>
      </w:r>
      <w:r>
        <w:rPr>
          <w:color w:val="231F20"/>
        </w:rPr>
        <w:t>young.</w:t>
      </w:r>
    </w:p>
    <w:p>
      <w:pPr>
        <w:pStyle w:val="BodyText"/>
        <w:spacing w:before="10"/>
        <w:rPr>
          <w:rFonts w:ascii="Palatino Linotype"/>
          <w:sz w:val="25"/>
        </w:rPr>
      </w:pPr>
    </w:p>
    <w:p>
      <w:pPr>
        <w:pStyle w:val="Heading5"/>
        <w:spacing w:line="216" w:lineRule="auto"/>
        <w:ind w:left="785" w:right="773"/>
      </w:pPr>
      <w:r>
        <w:rPr>
          <w:color w:val="231F20"/>
        </w:rPr>
        <w:t>We want everything now, and in the aﬄuent culture in which we live, we come to expect that we can get things instantly. This impatience carries over into what we are led to expect in relationships which need time to grow into love.</w:t>
      </w:r>
    </w:p>
    <w:p>
      <w:pPr>
        <w:spacing w:after="0" w:line="216" w:lineRule="auto"/>
        <w:sectPr>
          <w:headerReference w:type="default" r:id="rId143"/>
          <w:footerReference w:type="default" r:id="rId144"/>
          <w:pgSz w:w="11910" w:h="16840"/>
          <w:pgMar w:header="0" w:footer="1422" w:top="1540" w:bottom="1620" w:left="160" w:right="220"/>
          <w:pgNumType w:start="12"/>
        </w:sectPr>
      </w:pPr>
    </w:p>
    <w:p>
      <w:pPr>
        <w:spacing w:line="216" w:lineRule="auto" w:before="206"/>
        <w:ind w:left="747" w:right="0" w:firstLine="0"/>
        <w:jc w:val="left"/>
        <w:rPr>
          <w:rFonts w:ascii="Palatino Linotype" w:hAnsi="Palatino Linotype"/>
          <w:b/>
          <w:i/>
          <w:sz w:val="48"/>
        </w:rPr>
      </w:pPr>
      <w:r>
        <w:rPr>
          <w:rFonts w:ascii="Palatino Linotype" w:hAnsi="Palatino Linotype"/>
          <w:b/>
          <w:i/>
          <w:color w:val="008790"/>
          <w:sz w:val="48"/>
        </w:rPr>
        <w:t>“...we hope that </w:t>
      </w:r>
      <w:r>
        <w:rPr>
          <w:rFonts w:ascii="Palatino Linotype" w:hAnsi="Palatino Linotype"/>
          <w:b/>
          <w:i/>
          <w:color w:val="008790"/>
          <w:sz w:val="48"/>
        </w:rPr>
        <w:t>imaginative </w:t>
      </w:r>
      <w:r>
        <w:rPr>
          <w:rFonts w:ascii="Palatino Linotype" w:hAnsi="Palatino Linotype"/>
          <w:b/>
          <w:i/>
          <w:color w:val="008790"/>
          <w:spacing w:val="-4"/>
          <w:sz w:val="48"/>
        </w:rPr>
        <w:t>ways </w:t>
      </w:r>
      <w:r>
        <w:rPr>
          <w:rFonts w:ascii="Palatino Linotype" w:hAnsi="Palatino Linotype"/>
          <w:b/>
          <w:i/>
          <w:color w:val="008790"/>
          <w:sz w:val="48"/>
        </w:rPr>
        <w:t>can be found to foster the idea that being patient brings greater </w:t>
      </w:r>
      <w:r>
        <w:rPr>
          <w:rFonts w:ascii="Palatino Linotype" w:hAnsi="Palatino Linotype"/>
          <w:b/>
          <w:i/>
          <w:color w:val="008790"/>
          <w:spacing w:val="-5"/>
          <w:sz w:val="48"/>
        </w:rPr>
        <w:t>rewards, </w:t>
      </w:r>
      <w:r>
        <w:rPr>
          <w:rFonts w:ascii="Palatino Linotype" w:hAnsi="Palatino Linotype"/>
          <w:b/>
          <w:i/>
          <w:color w:val="008790"/>
          <w:sz w:val="48"/>
        </w:rPr>
        <w:t>greater happiness and psychological stability.”</w:t>
      </w:r>
    </w:p>
    <w:p>
      <w:pPr>
        <w:pStyle w:val="BodyText"/>
        <w:spacing w:before="1"/>
        <w:rPr>
          <w:rFonts w:ascii="Palatino Linotype"/>
          <w:b/>
          <w:i/>
          <w:sz w:val="32"/>
        </w:rPr>
      </w:pPr>
      <w:r>
        <w:rPr/>
        <w:br w:type="column"/>
      </w:r>
      <w:r>
        <w:rPr>
          <w:rFonts w:ascii="Palatino Linotype"/>
          <w:b/>
          <w:i/>
          <w:sz w:val="32"/>
        </w:rPr>
      </w:r>
    </w:p>
    <w:p>
      <w:pPr>
        <w:pStyle w:val="Heading5"/>
        <w:spacing w:line="216" w:lineRule="auto"/>
        <w:ind w:left="168" w:right="789"/>
      </w:pPr>
      <w:r>
        <w:rPr>
          <w:color w:val="231F20"/>
          <w:spacing w:val="-12"/>
        </w:rPr>
        <w:t>At</w:t>
      </w:r>
      <w:r>
        <w:rPr>
          <w:color w:val="231F20"/>
          <w:spacing w:val="-15"/>
        </w:rPr>
        <w:t> </w:t>
      </w:r>
      <w:r>
        <w:rPr>
          <w:color w:val="231F20"/>
        </w:rPr>
        <w:t>the</w:t>
      </w:r>
      <w:r>
        <w:rPr>
          <w:color w:val="231F20"/>
          <w:spacing w:val="-15"/>
        </w:rPr>
        <w:t> </w:t>
      </w:r>
      <w:r>
        <w:rPr>
          <w:color w:val="231F20"/>
          <w:spacing w:val="-3"/>
        </w:rPr>
        <w:t>heart</w:t>
      </w:r>
      <w:r>
        <w:rPr>
          <w:color w:val="231F20"/>
          <w:spacing w:val="-15"/>
        </w:rPr>
        <w:t> </w:t>
      </w:r>
      <w:r>
        <w:rPr>
          <w:color w:val="231F20"/>
        </w:rPr>
        <w:t>of</w:t>
      </w:r>
      <w:r>
        <w:rPr>
          <w:color w:val="231F20"/>
          <w:spacing w:val="-15"/>
        </w:rPr>
        <w:t> </w:t>
      </w:r>
      <w:r>
        <w:rPr>
          <w:color w:val="231F20"/>
        </w:rPr>
        <w:t>any</w:t>
      </w:r>
      <w:r>
        <w:rPr>
          <w:color w:val="231F20"/>
          <w:spacing w:val="-14"/>
        </w:rPr>
        <w:t> </w:t>
      </w:r>
      <w:r>
        <w:rPr>
          <w:color w:val="231F20"/>
          <w:spacing w:val="-3"/>
        </w:rPr>
        <w:t>Catholic</w:t>
      </w:r>
      <w:r>
        <w:rPr>
          <w:color w:val="231F20"/>
          <w:spacing w:val="-15"/>
        </w:rPr>
        <w:t> </w:t>
      </w:r>
      <w:r>
        <w:rPr>
          <w:color w:val="231F20"/>
          <w:spacing w:val="-3"/>
        </w:rPr>
        <w:t>Relationship </w:t>
      </w:r>
      <w:r>
        <w:rPr>
          <w:color w:val="231F20"/>
        </w:rPr>
        <w:t>and</w:t>
      </w:r>
      <w:r>
        <w:rPr>
          <w:color w:val="231F20"/>
          <w:spacing w:val="-23"/>
        </w:rPr>
        <w:t> </w:t>
      </w:r>
      <w:r>
        <w:rPr>
          <w:color w:val="231F20"/>
        </w:rPr>
        <w:t>Sex</w:t>
      </w:r>
      <w:r>
        <w:rPr>
          <w:color w:val="231F20"/>
          <w:spacing w:val="-22"/>
        </w:rPr>
        <w:t> </w:t>
      </w:r>
      <w:r>
        <w:rPr>
          <w:color w:val="231F20"/>
        </w:rPr>
        <w:t>Education</w:t>
      </w:r>
      <w:r>
        <w:rPr>
          <w:color w:val="231F20"/>
          <w:spacing w:val="-23"/>
        </w:rPr>
        <w:t> </w:t>
      </w:r>
      <w:r>
        <w:rPr>
          <w:color w:val="231F20"/>
        </w:rPr>
        <w:t>programme</w:t>
      </w:r>
      <w:r>
        <w:rPr>
          <w:color w:val="231F20"/>
          <w:spacing w:val="-22"/>
        </w:rPr>
        <w:t> </w:t>
      </w:r>
      <w:r>
        <w:rPr>
          <w:color w:val="231F20"/>
        </w:rPr>
        <w:t>aimed</w:t>
      </w:r>
      <w:r>
        <w:rPr>
          <w:color w:val="231F20"/>
          <w:spacing w:val="-23"/>
        </w:rPr>
        <w:t> </w:t>
      </w:r>
      <w:r>
        <w:rPr>
          <w:color w:val="231F20"/>
        </w:rPr>
        <w:t>at young</w:t>
      </w:r>
      <w:r>
        <w:rPr>
          <w:color w:val="231F20"/>
          <w:spacing w:val="-18"/>
        </w:rPr>
        <w:t> </w:t>
      </w:r>
      <w:r>
        <w:rPr>
          <w:color w:val="231F20"/>
        </w:rPr>
        <w:t>people,</w:t>
      </w:r>
      <w:r>
        <w:rPr>
          <w:color w:val="231F20"/>
          <w:spacing w:val="-17"/>
        </w:rPr>
        <w:t> </w:t>
      </w:r>
      <w:r>
        <w:rPr>
          <w:color w:val="231F20"/>
          <w:spacing w:val="-4"/>
        </w:rPr>
        <w:t>we</w:t>
      </w:r>
      <w:r>
        <w:rPr>
          <w:color w:val="231F20"/>
          <w:spacing w:val="-18"/>
        </w:rPr>
        <w:t> </w:t>
      </w:r>
      <w:r>
        <w:rPr>
          <w:color w:val="231F20"/>
        </w:rPr>
        <w:t>hope</w:t>
      </w:r>
      <w:r>
        <w:rPr>
          <w:color w:val="231F20"/>
          <w:spacing w:val="-17"/>
        </w:rPr>
        <w:t> </w:t>
      </w:r>
      <w:r>
        <w:rPr>
          <w:color w:val="231F20"/>
        </w:rPr>
        <w:t>that</w:t>
      </w:r>
      <w:r>
        <w:rPr>
          <w:color w:val="231F20"/>
          <w:spacing w:val="-17"/>
        </w:rPr>
        <w:t> </w:t>
      </w:r>
      <w:r>
        <w:rPr>
          <w:color w:val="231F20"/>
          <w:spacing w:val="-3"/>
        </w:rPr>
        <w:t>imaginative </w:t>
      </w:r>
      <w:r>
        <w:rPr>
          <w:color w:val="231F20"/>
          <w:spacing w:val="-4"/>
        </w:rPr>
        <w:t>ways</w:t>
      </w:r>
      <w:r>
        <w:rPr>
          <w:color w:val="231F20"/>
          <w:spacing w:val="-17"/>
        </w:rPr>
        <w:t> </w:t>
      </w:r>
      <w:r>
        <w:rPr>
          <w:color w:val="231F20"/>
        </w:rPr>
        <w:t>can</w:t>
      </w:r>
      <w:r>
        <w:rPr>
          <w:color w:val="231F20"/>
          <w:spacing w:val="-17"/>
        </w:rPr>
        <w:t> </w:t>
      </w:r>
      <w:r>
        <w:rPr>
          <w:color w:val="231F20"/>
        </w:rPr>
        <w:t>be</w:t>
      </w:r>
      <w:r>
        <w:rPr>
          <w:color w:val="231F20"/>
          <w:spacing w:val="-17"/>
        </w:rPr>
        <w:t> </w:t>
      </w:r>
      <w:r>
        <w:rPr>
          <w:color w:val="231F20"/>
        </w:rPr>
        <w:t>found</w:t>
      </w:r>
      <w:r>
        <w:rPr>
          <w:color w:val="231F20"/>
          <w:spacing w:val="-16"/>
        </w:rPr>
        <w:t> </w:t>
      </w:r>
      <w:r>
        <w:rPr>
          <w:color w:val="231F20"/>
        </w:rPr>
        <w:t>to</w:t>
      </w:r>
      <w:r>
        <w:rPr>
          <w:color w:val="231F20"/>
          <w:spacing w:val="-17"/>
        </w:rPr>
        <w:t> </w:t>
      </w:r>
      <w:r>
        <w:rPr>
          <w:color w:val="231F20"/>
        </w:rPr>
        <w:t>foster</w:t>
      </w:r>
      <w:r>
        <w:rPr>
          <w:color w:val="231F20"/>
          <w:spacing w:val="-17"/>
        </w:rPr>
        <w:t> </w:t>
      </w:r>
      <w:r>
        <w:rPr>
          <w:color w:val="231F20"/>
        </w:rPr>
        <w:t>the</w:t>
      </w:r>
      <w:r>
        <w:rPr>
          <w:color w:val="231F20"/>
          <w:spacing w:val="-16"/>
        </w:rPr>
        <w:t> </w:t>
      </w:r>
      <w:r>
        <w:rPr>
          <w:color w:val="231F20"/>
        </w:rPr>
        <w:t>idea</w:t>
      </w:r>
      <w:r>
        <w:rPr>
          <w:color w:val="231F20"/>
          <w:spacing w:val="-17"/>
        </w:rPr>
        <w:t> </w:t>
      </w:r>
      <w:r>
        <w:rPr>
          <w:color w:val="231F20"/>
        </w:rPr>
        <w:t>that being patient brings greater rewards, greater happiness and psychological stability.</w:t>
      </w:r>
    </w:p>
    <w:p>
      <w:pPr>
        <w:pStyle w:val="BodyText"/>
        <w:spacing w:before="1"/>
        <w:rPr>
          <w:rFonts w:ascii="Palatino Linotype"/>
          <w:sz w:val="26"/>
        </w:rPr>
      </w:pPr>
    </w:p>
    <w:p>
      <w:pPr>
        <w:pStyle w:val="Heading5"/>
        <w:spacing w:line="216" w:lineRule="auto"/>
        <w:ind w:left="168" w:right="789"/>
      </w:pPr>
      <w:r>
        <w:rPr>
          <w:color w:val="231F20"/>
        </w:rPr>
        <w:t>Alongside patience, and linked to it,</w:t>
      </w:r>
      <w:r>
        <w:rPr>
          <w:color w:val="231F20"/>
          <w:spacing w:val="-34"/>
        </w:rPr>
        <w:t> </w:t>
      </w:r>
      <w:r>
        <w:rPr>
          <w:color w:val="231F20"/>
          <w:spacing w:val="-11"/>
        </w:rPr>
        <w:t>we </w:t>
      </w:r>
      <w:r>
        <w:rPr>
          <w:color w:val="231F20"/>
        </w:rPr>
        <w:t>want to promote an appreciation of a proper understanding of the virtue of chastity, and how important it is in </w:t>
      </w:r>
      <w:r>
        <w:rPr>
          <w:color w:val="231F20"/>
          <w:spacing w:val="-6"/>
        </w:rPr>
        <w:t>any </w:t>
      </w:r>
      <w:r>
        <w:rPr>
          <w:color w:val="231F20"/>
        </w:rPr>
        <w:t>relationship.</w:t>
      </w:r>
    </w:p>
    <w:p>
      <w:pPr>
        <w:spacing w:after="0" w:line="216" w:lineRule="auto"/>
        <w:sectPr>
          <w:type w:val="continuous"/>
          <w:pgSz w:w="11910" w:h="16840"/>
          <w:pgMar w:top="1320" w:bottom="1640" w:left="160" w:right="220"/>
          <w:cols w:num="2" w:equalWidth="0">
            <w:col w:w="5646" w:space="40"/>
            <w:col w:w="5844"/>
          </w:cols>
        </w:sectPr>
      </w:pPr>
    </w:p>
    <w:p>
      <w:pPr>
        <w:pStyle w:val="BodyText"/>
        <w:spacing w:before="12"/>
        <w:rPr>
          <w:rFonts w:ascii="Palatino Linotype"/>
          <w:sz w:val="12"/>
        </w:rPr>
      </w:pPr>
    </w:p>
    <w:p>
      <w:pPr>
        <w:pStyle w:val="Heading5"/>
        <w:spacing w:line="216" w:lineRule="auto" w:before="130"/>
        <w:ind w:left="764" w:right="794"/>
      </w:pPr>
      <w:r>
        <w:rPr>
          <w:color w:val="231F20"/>
        </w:rPr>
        <w:t>In practising chastity, </w:t>
      </w:r>
      <w:r>
        <w:rPr>
          <w:color w:val="231F20"/>
          <w:spacing w:val="-3"/>
        </w:rPr>
        <w:t>we </w:t>
      </w:r>
      <w:r>
        <w:rPr>
          <w:color w:val="231F20"/>
        </w:rPr>
        <w:t>are promoting a mature response to emotions, </w:t>
      </w:r>
      <w:r>
        <w:rPr>
          <w:color w:val="231F20"/>
          <w:spacing w:val="-3"/>
        </w:rPr>
        <w:t>ordered </w:t>
      </w:r>
      <w:r>
        <w:rPr>
          <w:color w:val="231F20"/>
        </w:rPr>
        <w:t>towards ﬁnding ways to celebrate love that preserve dignity, and allow appreciative</w:t>
      </w:r>
      <w:r>
        <w:rPr>
          <w:color w:val="231F20"/>
          <w:spacing w:val="-16"/>
        </w:rPr>
        <w:t> </w:t>
      </w:r>
      <w:r>
        <w:rPr>
          <w:color w:val="231F20"/>
        </w:rPr>
        <w:t>love</w:t>
      </w:r>
      <w:r>
        <w:rPr>
          <w:color w:val="231F20"/>
          <w:spacing w:val="-15"/>
        </w:rPr>
        <w:t> </w:t>
      </w:r>
      <w:r>
        <w:rPr>
          <w:color w:val="231F20"/>
        </w:rPr>
        <w:t>to</w:t>
      </w:r>
      <w:r>
        <w:rPr>
          <w:color w:val="231F20"/>
          <w:spacing w:val="-15"/>
        </w:rPr>
        <w:t> </w:t>
      </w:r>
      <w:r>
        <w:rPr>
          <w:color w:val="231F20"/>
        </w:rPr>
        <w:t>blossom</w:t>
      </w:r>
      <w:r>
        <w:rPr>
          <w:color w:val="231F20"/>
          <w:spacing w:val="-15"/>
        </w:rPr>
        <w:t> </w:t>
      </w:r>
      <w:r>
        <w:rPr>
          <w:color w:val="231F20"/>
        </w:rPr>
        <w:t>and</w:t>
      </w:r>
      <w:r>
        <w:rPr>
          <w:color w:val="231F20"/>
          <w:spacing w:val="-15"/>
        </w:rPr>
        <w:t> </w:t>
      </w:r>
      <w:r>
        <w:rPr>
          <w:color w:val="231F20"/>
        </w:rPr>
        <w:t>bear</w:t>
      </w:r>
      <w:r>
        <w:rPr>
          <w:color w:val="231F20"/>
          <w:spacing w:val="-16"/>
        </w:rPr>
        <w:t> </w:t>
      </w:r>
      <w:r>
        <w:rPr>
          <w:color w:val="231F20"/>
        </w:rPr>
        <w:t>fruit.</w:t>
      </w:r>
      <w:r>
        <w:rPr>
          <w:color w:val="231F20"/>
          <w:spacing w:val="-15"/>
        </w:rPr>
        <w:t> </w:t>
      </w:r>
      <w:r>
        <w:rPr>
          <w:color w:val="231F20"/>
          <w:spacing w:val="-6"/>
        </w:rPr>
        <w:t>Young</w:t>
      </w:r>
      <w:r>
        <w:rPr>
          <w:color w:val="231F20"/>
          <w:spacing w:val="-15"/>
        </w:rPr>
        <w:t> </w:t>
      </w:r>
      <w:r>
        <w:rPr>
          <w:color w:val="231F20"/>
        </w:rPr>
        <w:t>people</w:t>
      </w:r>
      <w:r>
        <w:rPr>
          <w:color w:val="231F20"/>
          <w:spacing w:val="-15"/>
        </w:rPr>
        <w:t> </w:t>
      </w:r>
      <w:r>
        <w:rPr>
          <w:color w:val="231F20"/>
        </w:rPr>
        <w:t>should</w:t>
      </w:r>
      <w:r>
        <w:rPr>
          <w:color w:val="231F20"/>
          <w:spacing w:val="-15"/>
        </w:rPr>
        <w:t> </w:t>
      </w:r>
      <w:r>
        <w:rPr>
          <w:color w:val="231F20"/>
        </w:rPr>
        <w:t>come</w:t>
      </w:r>
      <w:r>
        <w:rPr>
          <w:color w:val="231F20"/>
          <w:spacing w:val="-16"/>
        </w:rPr>
        <w:t> </w:t>
      </w:r>
      <w:r>
        <w:rPr>
          <w:color w:val="231F20"/>
        </w:rPr>
        <w:t>to</w:t>
      </w:r>
      <w:r>
        <w:rPr>
          <w:color w:val="231F20"/>
          <w:spacing w:val="-15"/>
        </w:rPr>
        <w:t> </w:t>
      </w:r>
      <w:r>
        <w:rPr>
          <w:color w:val="231F20"/>
        </w:rPr>
        <w:t>see</w:t>
      </w:r>
      <w:r>
        <w:rPr>
          <w:color w:val="231F20"/>
          <w:spacing w:val="-15"/>
        </w:rPr>
        <w:t> </w:t>
      </w:r>
      <w:r>
        <w:rPr>
          <w:color w:val="231F20"/>
        </w:rPr>
        <w:t>that the practice of patience and chastity are powerful signs that they are growing in maturity.</w:t>
      </w:r>
    </w:p>
    <w:p>
      <w:pPr>
        <w:pStyle w:val="BodyText"/>
        <w:spacing w:before="11"/>
        <w:rPr>
          <w:rFonts w:ascii="Palatino Linotype"/>
          <w:sz w:val="25"/>
        </w:rPr>
      </w:pPr>
    </w:p>
    <w:p>
      <w:pPr>
        <w:pStyle w:val="Heading5"/>
        <w:spacing w:line="216" w:lineRule="auto"/>
        <w:ind w:left="764" w:right="794"/>
      </w:pPr>
      <w:r>
        <w:rPr>
          <w:color w:val="231F20"/>
        </w:rPr>
        <w:t>Patience and chastity are qualities we associate with maturity. Sadly, for one reason or another, many of us remain immature in this respect:</w:t>
      </w:r>
    </w:p>
    <w:p>
      <w:pPr>
        <w:spacing w:after="0" w:line="216" w:lineRule="auto"/>
        <w:sectPr>
          <w:type w:val="continuous"/>
          <w:pgSz w:w="11910" w:h="16840"/>
          <w:pgMar w:top="1320" w:bottom="1640" w:left="160" w:right="220"/>
        </w:sectPr>
      </w:pPr>
    </w:p>
    <w:p>
      <w:pPr>
        <w:pStyle w:val="Heading6"/>
        <w:spacing w:line="216" w:lineRule="auto" w:before="106"/>
        <w:ind w:left="1391" w:right="771" w:firstLine="270"/>
      </w:pPr>
      <w:r>
        <w:rPr>
          <w:i/>
          <w:color w:val="231F20"/>
        </w:rPr>
        <w:t>There are those who feel themselves capable of great love only because they</w:t>
      </w:r>
      <w:r>
        <w:rPr>
          <w:i/>
          <w:color w:val="231F20"/>
          <w:spacing w:val="-14"/>
        </w:rPr>
        <w:t> </w:t>
      </w:r>
      <w:r>
        <w:rPr>
          <w:i/>
          <w:color w:val="231F20"/>
        </w:rPr>
        <w:t>have</w:t>
      </w:r>
      <w:r>
        <w:rPr>
          <w:i/>
          <w:color w:val="231F20"/>
          <w:spacing w:val="-1"/>
        </w:rPr>
        <w:t> </w:t>
      </w:r>
      <w:r>
        <w:rPr>
          <w:i/>
          <w:color w:val="231F20"/>
          <w:spacing w:val="-17"/>
        </w:rPr>
        <w:t>a</w:t>
      </w:r>
      <w:r>
        <w:rPr>
          <w:color w:val="231F20"/>
        </w:rPr>
        <w:t> great need for aﬀection, yet they prove incapable of the eﬀort needed</w:t>
      </w:r>
      <w:r>
        <w:rPr>
          <w:color w:val="231F20"/>
          <w:spacing w:val="-10"/>
        </w:rPr>
        <w:t> </w:t>
      </w:r>
      <w:r>
        <w:rPr>
          <w:color w:val="231F20"/>
        </w:rPr>
        <w:t>to bring happiness to others. They remain caught up in their own needs and desires.</w:t>
      </w:r>
      <w:r>
        <w:rPr>
          <w:color w:val="231F20"/>
          <w:spacing w:val="2"/>
        </w:rPr>
        <w:t> </w:t>
      </w:r>
      <w:r>
        <w:rPr>
          <w:color w:val="231F20"/>
        </w:rPr>
        <w:t>In </w:t>
      </w:r>
      <w:r>
        <w:rPr>
          <w:color w:val="231F20"/>
          <w:spacing w:val="-5"/>
        </w:rPr>
        <w:t>such</w:t>
      </w:r>
      <w:r>
        <w:rPr>
          <w:color w:val="231F20"/>
        </w:rPr>
        <w:t> cases, emotions distract from the highest values and conceal a</w:t>
      </w:r>
      <w:r>
        <w:rPr>
          <w:color w:val="231F20"/>
          <w:spacing w:val="-8"/>
        </w:rPr>
        <w:t> </w:t>
      </w:r>
      <w:r>
        <w:rPr>
          <w:color w:val="231F20"/>
        </w:rPr>
        <w:t>self-centredness that makes it impossible to develop a healthy and happy family</w:t>
      </w:r>
      <w:r>
        <w:rPr>
          <w:color w:val="231F20"/>
          <w:spacing w:val="-5"/>
        </w:rPr>
        <w:t> </w:t>
      </w:r>
      <w:r>
        <w:rPr>
          <w:color w:val="231F20"/>
        </w:rPr>
        <w:t>life.</w:t>
      </w:r>
    </w:p>
    <w:p>
      <w:pPr>
        <w:pStyle w:val="Heading5"/>
        <w:spacing w:line="356" w:lineRule="exact"/>
        <w:ind w:right="771"/>
        <w:jc w:val="right"/>
      </w:pPr>
      <w:r>
        <w:rPr>
          <w:color w:val="231F20"/>
        </w:rPr>
        <w:t>AL 145</w:t>
      </w:r>
    </w:p>
    <w:p>
      <w:pPr>
        <w:pStyle w:val="Heading5"/>
        <w:spacing w:line="216" w:lineRule="auto" w:before="116"/>
        <w:ind w:left="780" w:right="778"/>
      </w:pPr>
      <w:r>
        <w:rPr>
          <w:color w:val="231F20"/>
        </w:rPr>
        <w:t>As we have seen, most of our desires come from feeling incomplete, and in need of something from the ‘outside’ to feel satisﬁed. In taking what we think will satisfy us, we often ‘consume’ the object of our desire, and assimilate it into ourselves, such as food.</w:t>
      </w:r>
    </w:p>
    <w:p>
      <w:pPr>
        <w:pStyle w:val="BodyText"/>
        <w:spacing w:before="10"/>
        <w:rPr>
          <w:rFonts w:ascii="Palatino Linotype"/>
          <w:sz w:val="25"/>
        </w:rPr>
      </w:pPr>
    </w:p>
    <w:p>
      <w:pPr>
        <w:pStyle w:val="Heading5"/>
        <w:spacing w:line="216" w:lineRule="auto"/>
        <w:ind w:left="780" w:right="778"/>
      </w:pPr>
      <w:r>
        <w:rPr>
          <w:color w:val="231F20"/>
        </w:rPr>
        <w:t>That would be natural and good, if the desire was truly oriented towards our wellbeing. However, there are desires, such as for money or possessions, </w:t>
      </w:r>
      <w:r>
        <w:rPr>
          <w:color w:val="231F20"/>
          <w:spacing w:val="-3"/>
        </w:rPr>
        <w:t>which </w:t>
      </w:r>
      <w:r>
        <w:rPr>
          <w:color w:val="231F20"/>
        </w:rPr>
        <w:t>can become addictive and which never bring fulﬁlment because they aren't necessarily oriented towards the greater good of ourselves, our relationships, or </w:t>
      </w:r>
      <w:r>
        <w:rPr>
          <w:color w:val="231F20"/>
          <w:spacing w:val="-3"/>
        </w:rPr>
        <w:t>indeed,</w:t>
      </w:r>
      <w:r>
        <w:rPr>
          <w:color w:val="231F20"/>
          <w:spacing w:val="-15"/>
        </w:rPr>
        <w:t> </w:t>
      </w:r>
      <w:r>
        <w:rPr>
          <w:color w:val="231F20"/>
        </w:rPr>
        <w:t>of</w:t>
      </w:r>
      <w:r>
        <w:rPr>
          <w:color w:val="231F20"/>
          <w:spacing w:val="-14"/>
        </w:rPr>
        <w:t> </w:t>
      </w:r>
      <w:r>
        <w:rPr>
          <w:color w:val="231F20"/>
        </w:rPr>
        <w:t>our</w:t>
      </w:r>
      <w:r>
        <w:rPr>
          <w:color w:val="231F20"/>
          <w:spacing w:val="-14"/>
        </w:rPr>
        <w:t> </w:t>
      </w:r>
      <w:r>
        <w:rPr>
          <w:color w:val="231F20"/>
          <w:spacing w:val="-3"/>
        </w:rPr>
        <w:t>society.</w:t>
      </w:r>
      <w:r>
        <w:rPr>
          <w:color w:val="231F20"/>
          <w:spacing w:val="-14"/>
        </w:rPr>
        <w:t> </w:t>
      </w:r>
      <w:r>
        <w:rPr>
          <w:color w:val="231F20"/>
        </w:rPr>
        <w:t>In</w:t>
      </w:r>
      <w:r>
        <w:rPr>
          <w:color w:val="231F20"/>
          <w:spacing w:val="-14"/>
        </w:rPr>
        <w:t> </w:t>
      </w:r>
      <w:r>
        <w:rPr>
          <w:color w:val="231F20"/>
          <w:spacing w:val="-3"/>
        </w:rPr>
        <w:t>addition</w:t>
      </w:r>
      <w:r>
        <w:rPr>
          <w:color w:val="231F20"/>
          <w:spacing w:val="-14"/>
        </w:rPr>
        <w:t> </w:t>
      </w:r>
      <w:r>
        <w:rPr>
          <w:color w:val="231F20"/>
        </w:rPr>
        <w:t>to</w:t>
      </w:r>
      <w:r>
        <w:rPr>
          <w:color w:val="231F20"/>
          <w:spacing w:val="-14"/>
        </w:rPr>
        <w:t> </w:t>
      </w:r>
      <w:r>
        <w:rPr>
          <w:color w:val="231F20"/>
        </w:rPr>
        <w:t>the</w:t>
      </w:r>
      <w:r>
        <w:rPr>
          <w:color w:val="231F20"/>
          <w:spacing w:val="-14"/>
        </w:rPr>
        <w:t> </w:t>
      </w:r>
      <w:r>
        <w:rPr>
          <w:color w:val="231F20"/>
          <w:spacing w:val="-3"/>
        </w:rPr>
        <w:t>damage</w:t>
      </w:r>
      <w:r>
        <w:rPr>
          <w:color w:val="231F20"/>
          <w:spacing w:val="-14"/>
        </w:rPr>
        <w:t> </w:t>
      </w:r>
      <w:r>
        <w:rPr>
          <w:color w:val="231F20"/>
          <w:spacing w:val="-3"/>
        </w:rPr>
        <w:t>they</w:t>
      </w:r>
      <w:r>
        <w:rPr>
          <w:color w:val="231F20"/>
          <w:spacing w:val="-14"/>
        </w:rPr>
        <w:t> </w:t>
      </w:r>
      <w:r>
        <w:rPr>
          <w:color w:val="231F20"/>
        </w:rPr>
        <w:t>can</w:t>
      </w:r>
      <w:r>
        <w:rPr>
          <w:color w:val="231F20"/>
          <w:spacing w:val="-14"/>
        </w:rPr>
        <w:t> </w:t>
      </w:r>
      <w:r>
        <w:rPr>
          <w:color w:val="231F20"/>
        </w:rPr>
        <w:t>do</w:t>
      </w:r>
      <w:r>
        <w:rPr>
          <w:color w:val="231F20"/>
          <w:spacing w:val="-14"/>
        </w:rPr>
        <w:t> </w:t>
      </w:r>
      <w:r>
        <w:rPr>
          <w:color w:val="231F20"/>
        </w:rPr>
        <w:t>to</w:t>
      </w:r>
      <w:r>
        <w:rPr>
          <w:color w:val="231F20"/>
          <w:spacing w:val="-14"/>
        </w:rPr>
        <w:t> </w:t>
      </w:r>
      <w:r>
        <w:rPr>
          <w:color w:val="231F20"/>
        </w:rPr>
        <w:t>us</w:t>
      </w:r>
      <w:r>
        <w:rPr>
          <w:color w:val="231F20"/>
          <w:spacing w:val="-15"/>
        </w:rPr>
        <w:t> </w:t>
      </w:r>
      <w:r>
        <w:rPr>
          <w:color w:val="231F20"/>
        </w:rPr>
        <w:t>as</w:t>
      </w:r>
      <w:r>
        <w:rPr>
          <w:color w:val="231F20"/>
          <w:spacing w:val="-14"/>
        </w:rPr>
        <w:t> </w:t>
      </w:r>
      <w:r>
        <w:rPr>
          <w:color w:val="231F20"/>
          <w:spacing w:val="-3"/>
        </w:rPr>
        <w:t>their</w:t>
      </w:r>
      <w:r>
        <w:rPr>
          <w:color w:val="231F20"/>
          <w:spacing w:val="-14"/>
        </w:rPr>
        <w:t> </w:t>
      </w:r>
      <w:r>
        <w:rPr>
          <w:color w:val="231F20"/>
          <w:spacing w:val="-3"/>
        </w:rPr>
        <w:t>subjects, </w:t>
      </w:r>
      <w:r>
        <w:rPr>
          <w:color w:val="231F20"/>
        </w:rPr>
        <w:t>uncontrolled desire can do great damage to those that surround us:</w:t>
      </w:r>
    </w:p>
    <w:p>
      <w:pPr>
        <w:pStyle w:val="Heading6"/>
        <w:spacing w:line="216" w:lineRule="auto" w:before="92"/>
        <w:ind w:left="1246" w:firstLine="371"/>
      </w:pPr>
      <w:r>
        <w:rPr>
          <w:i/>
          <w:color w:val="231F20"/>
        </w:rPr>
        <w:t>Consideration needs to be given to the growing danger represented by</w:t>
      </w:r>
      <w:r>
        <w:rPr>
          <w:i/>
          <w:color w:val="231F20"/>
          <w:spacing w:val="-2"/>
        </w:rPr>
        <w:t> </w:t>
      </w:r>
      <w:r>
        <w:rPr>
          <w:i/>
          <w:color w:val="231F20"/>
        </w:rPr>
        <w:t>an </w:t>
      </w:r>
      <w:r>
        <w:rPr>
          <w:i/>
          <w:color w:val="231F20"/>
          <w:spacing w:val="-3"/>
        </w:rPr>
        <w:t>extreme</w:t>
      </w:r>
      <w:r>
        <w:rPr>
          <w:color w:val="231F20"/>
        </w:rPr>
        <w:t> individualism which weakens family bonds and ends up considering each</w:t>
      </w:r>
      <w:r>
        <w:rPr>
          <w:color w:val="231F20"/>
          <w:spacing w:val="-5"/>
        </w:rPr>
        <w:t> </w:t>
      </w:r>
      <w:r>
        <w:rPr>
          <w:color w:val="231F20"/>
        </w:rPr>
        <w:t>member of the family as an isolated unit, leading in some cases to the idea that</w:t>
      </w:r>
      <w:r>
        <w:rPr>
          <w:color w:val="231F20"/>
          <w:spacing w:val="-17"/>
        </w:rPr>
        <w:t> </w:t>
      </w:r>
      <w:r>
        <w:rPr>
          <w:color w:val="231F20"/>
        </w:rPr>
        <w:t>one’s</w:t>
      </w:r>
      <w:r>
        <w:rPr>
          <w:color w:val="231F20"/>
          <w:spacing w:val="-1"/>
        </w:rPr>
        <w:t> </w:t>
      </w:r>
      <w:r>
        <w:rPr>
          <w:color w:val="231F20"/>
        </w:rPr>
        <w:t>personality is shaped by his or her desires, which are considered absolute.</w:t>
      </w:r>
    </w:p>
    <w:p>
      <w:pPr>
        <w:pStyle w:val="Heading5"/>
        <w:spacing w:line="354" w:lineRule="exact"/>
        <w:ind w:right="768"/>
        <w:jc w:val="right"/>
      </w:pPr>
      <w:r>
        <w:rPr>
          <w:color w:val="231F20"/>
        </w:rPr>
        <w:t>AL 33</w:t>
      </w:r>
    </w:p>
    <w:p>
      <w:pPr>
        <w:pStyle w:val="Heading5"/>
        <w:spacing w:line="216" w:lineRule="auto" w:before="127"/>
        <w:ind w:left="790" w:right="768"/>
      </w:pPr>
      <w:r>
        <w:rPr>
          <w:color w:val="231F20"/>
        </w:rPr>
        <w:t>We need to be encouraged or inspired to control such desires, and here again for young people this is a responsibility which is shared between parents and the school, drawing support from the parish in its formation programmes. All of us have to struggle against the temptation to let desires ‘shape’ our lives, but it is a struggle that is greatly eased if we help each other to confront them.</w:t>
      </w:r>
    </w:p>
    <w:p>
      <w:pPr>
        <w:pStyle w:val="BodyText"/>
        <w:spacing w:before="11"/>
        <w:rPr>
          <w:rFonts w:ascii="Palatino Linotype"/>
          <w:sz w:val="25"/>
        </w:rPr>
      </w:pPr>
    </w:p>
    <w:p>
      <w:pPr>
        <w:pStyle w:val="Heading5"/>
        <w:spacing w:line="216" w:lineRule="auto"/>
        <w:ind w:left="790" w:right="768"/>
      </w:pPr>
      <w:r>
        <w:rPr>
          <w:color w:val="231F20"/>
        </w:rPr>
        <w:t>In all of this, the desire to be possessive of people is at work. However</w:t>
      </w:r>
      <w:r>
        <w:rPr>
          <w:color w:val="231F20"/>
          <w:spacing w:val="-47"/>
        </w:rPr>
        <w:t> </w:t>
      </w:r>
      <w:r>
        <w:rPr>
          <w:color w:val="231F20"/>
        </w:rPr>
        <w:t>important someone else might be in seeming to provide something which we lack, if the desire for that person becomes possessive, the relationship is unbalanced and potentially</w:t>
      </w:r>
      <w:r>
        <w:rPr>
          <w:color w:val="231F20"/>
          <w:spacing w:val="-2"/>
        </w:rPr>
        <w:t> </w:t>
      </w:r>
      <w:r>
        <w:rPr>
          <w:color w:val="231F20"/>
        </w:rPr>
        <w:t>damaging:</w:t>
      </w:r>
    </w:p>
    <w:p>
      <w:pPr>
        <w:pStyle w:val="Heading6"/>
        <w:spacing w:line="216" w:lineRule="auto" w:before="333"/>
        <w:ind w:left="1724" w:hanging="401"/>
      </w:pPr>
      <w:r>
        <w:rPr>
          <w:i/>
          <w:color w:val="231F20"/>
          <w:spacing w:val="-10"/>
        </w:rPr>
        <w:t>We </w:t>
      </w:r>
      <w:r>
        <w:rPr>
          <w:i/>
          <w:color w:val="231F20"/>
        </w:rPr>
        <w:t>do not have to control the other person, to follow their every step lest</w:t>
      </w:r>
      <w:r>
        <w:rPr>
          <w:i/>
          <w:color w:val="231F20"/>
          <w:spacing w:val="-8"/>
        </w:rPr>
        <w:t> </w:t>
      </w:r>
      <w:r>
        <w:rPr>
          <w:i/>
          <w:color w:val="231F20"/>
        </w:rPr>
        <w:t>they</w:t>
      </w:r>
      <w:r>
        <w:rPr>
          <w:i/>
          <w:color w:val="231F20"/>
          <w:spacing w:val="-1"/>
        </w:rPr>
        <w:t> </w:t>
      </w:r>
      <w:r>
        <w:rPr>
          <w:i/>
          <w:color w:val="231F20"/>
        </w:rPr>
        <w:t>escape</w:t>
      </w:r>
      <w:r>
        <w:rPr>
          <w:color w:val="231F20"/>
        </w:rPr>
        <w:t> our grip. Love trusts, it sets free, it does not try to control, possess</w:t>
      </w:r>
      <w:r>
        <w:rPr>
          <w:color w:val="231F20"/>
          <w:spacing w:val="-16"/>
        </w:rPr>
        <w:t> </w:t>
      </w:r>
      <w:r>
        <w:rPr>
          <w:color w:val="231F20"/>
        </w:rPr>
        <w:t>and</w:t>
      </w:r>
      <w:r>
        <w:rPr>
          <w:color w:val="231F20"/>
          <w:spacing w:val="-1"/>
        </w:rPr>
        <w:t> </w:t>
      </w:r>
      <w:r>
        <w:rPr>
          <w:color w:val="231F20"/>
        </w:rPr>
        <w:t>dominate everything. This freedom, which fosters independence, an openness to</w:t>
      </w:r>
      <w:r>
        <w:rPr>
          <w:color w:val="231F20"/>
          <w:spacing w:val="-11"/>
        </w:rPr>
        <w:t> </w:t>
      </w:r>
      <w:r>
        <w:rPr>
          <w:color w:val="231F20"/>
        </w:rPr>
        <w:t>the</w:t>
      </w:r>
      <w:r>
        <w:rPr>
          <w:color w:val="231F20"/>
          <w:spacing w:val="-1"/>
        </w:rPr>
        <w:t> </w:t>
      </w:r>
      <w:r>
        <w:rPr>
          <w:color w:val="231F20"/>
        </w:rPr>
        <w:t>world around us and to new experiences, can only enrich and expand</w:t>
      </w:r>
      <w:r>
        <w:rPr>
          <w:color w:val="231F20"/>
          <w:spacing w:val="-12"/>
        </w:rPr>
        <w:t> </w:t>
      </w:r>
      <w:r>
        <w:rPr>
          <w:color w:val="231F20"/>
        </w:rPr>
        <w:t>relationships.</w:t>
      </w:r>
    </w:p>
    <w:p>
      <w:pPr>
        <w:pStyle w:val="Heading5"/>
        <w:spacing w:line="354" w:lineRule="exact"/>
        <w:ind w:right="768"/>
        <w:jc w:val="right"/>
      </w:pPr>
      <w:r>
        <w:rPr>
          <w:color w:val="231F20"/>
        </w:rPr>
        <w:t>AL 232</w:t>
      </w:r>
    </w:p>
    <w:p>
      <w:pPr>
        <w:spacing w:after="0" w:line="354" w:lineRule="exact"/>
        <w:jc w:val="right"/>
        <w:sectPr>
          <w:headerReference w:type="default" r:id="rId145"/>
          <w:footerReference w:type="default" r:id="rId146"/>
          <w:pgSz w:w="11910" w:h="16840"/>
          <w:pgMar w:header="0" w:footer="1422" w:top="1560" w:bottom="1620" w:left="160" w:right="220"/>
          <w:pgNumType w:start="13"/>
        </w:sectPr>
      </w:pPr>
    </w:p>
    <w:p>
      <w:pPr>
        <w:pStyle w:val="Heading5"/>
        <w:spacing w:line="216" w:lineRule="auto" w:before="113"/>
        <w:ind w:left="907" w:right="771"/>
      </w:pPr>
      <w:r>
        <w:rPr>
          <w:color w:val="231F20"/>
        </w:rPr>
        <w:t>Such possessiveness is often ﬁrst evident in the school playground, especially amongst those who feel insecure. Lessons learnt there have the potential to become ingrained as a behavioural pattern which continues into adulthood.</w:t>
      </w:r>
      <w:r>
        <w:rPr>
          <w:color w:val="231F20"/>
          <w:spacing w:val="-24"/>
        </w:rPr>
        <w:t> </w:t>
      </w:r>
      <w:r>
        <w:rPr>
          <w:color w:val="231F20"/>
          <w:spacing w:val="-4"/>
        </w:rPr>
        <w:t>For </w:t>
      </w:r>
      <w:r>
        <w:rPr>
          <w:color w:val="231F20"/>
        </w:rPr>
        <w:t>this reason, prudent education in the art of making friends is another</w:t>
      </w:r>
      <w:r>
        <w:rPr>
          <w:color w:val="231F20"/>
          <w:spacing w:val="-28"/>
        </w:rPr>
        <w:t> </w:t>
      </w:r>
      <w:r>
        <w:rPr>
          <w:color w:val="231F20"/>
        </w:rPr>
        <w:t>important part of what </w:t>
      </w:r>
      <w:r>
        <w:rPr>
          <w:color w:val="231F20"/>
          <w:spacing w:val="-3"/>
        </w:rPr>
        <w:t>we </w:t>
      </w:r>
      <w:r>
        <w:rPr>
          <w:color w:val="231F20"/>
        </w:rPr>
        <w:t>call Relationship and Sex</w:t>
      </w:r>
      <w:r>
        <w:rPr>
          <w:color w:val="231F20"/>
          <w:spacing w:val="3"/>
        </w:rPr>
        <w:t> </w:t>
      </w:r>
      <w:r>
        <w:rPr>
          <w:color w:val="231F20"/>
        </w:rPr>
        <w:t>Education.</w:t>
      </w:r>
    </w:p>
    <w:p>
      <w:pPr>
        <w:pStyle w:val="BodyText"/>
        <w:spacing w:before="11"/>
        <w:rPr>
          <w:rFonts w:ascii="Palatino Linotype"/>
          <w:sz w:val="25"/>
        </w:rPr>
      </w:pPr>
    </w:p>
    <w:p>
      <w:pPr>
        <w:pStyle w:val="Heading5"/>
        <w:spacing w:line="216" w:lineRule="auto"/>
        <w:ind w:left="907" w:right="771"/>
      </w:pPr>
      <w:r>
        <w:rPr>
          <w:color w:val="231F20"/>
        </w:rPr>
        <w:t>While possessiveness can diminish the freedom that young people need to mature, it can be even more damaging to abandon them, leaving them to their own devices. In this, far from showing respect, we risk depriving them of the security and wellbeing which they are owed at an age when they are often particularly vulnerable.</w:t>
      </w:r>
    </w:p>
    <w:p>
      <w:pPr>
        <w:pStyle w:val="BodyText"/>
        <w:spacing w:before="11"/>
        <w:rPr>
          <w:rFonts w:ascii="Palatino Linotype"/>
          <w:sz w:val="25"/>
        </w:rPr>
      </w:pPr>
    </w:p>
    <w:p>
      <w:pPr>
        <w:pStyle w:val="Heading5"/>
        <w:spacing w:line="216" w:lineRule="auto" w:before="1"/>
        <w:ind w:left="907" w:right="771"/>
      </w:pPr>
      <w:r>
        <w:rPr>
          <w:color w:val="231F20"/>
        </w:rPr>
        <w:t>Everyone</w:t>
      </w:r>
      <w:r>
        <w:rPr>
          <w:color w:val="231F20"/>
          <w:spacing w:val="-12"/>
        </w:rPr>
        <w:t> </w:t>
      </w:r>
      <w:r>
        <w:rPr>
          <w:color w:val="231F20"/>
        </w:rPr>
        <w:t>charged</w:t>
      </w:r>
      <w:r>
        <w:rPr>
          <w:color w:val="231F20"/>
          <w:spacing w:val="-11"/>
        </w:rPr>
        <w:t> </w:t>
      </w:r>
      <w:r>
        <w:rPr>
          <w:color w:val="231F20"/>
        </w:rPr>
        <w:t>with</w:t>
      </w:r>
      <w:r>
        <w:rPr>
          <w:color w:val="231F20"/>
          <w:spacing w:val="-12"/>
        </w:rPr>
        <w:t> </w:t>
      </w:r>
      <w:r>
        <w:rPr>
          <w:color w:val="231F20"/>
        </w:rPr>
        <w:t>a</w:t>
      </w:r>
      <w:r>
        <w:rPr>
          <w:color w:val="231F20"/>
          <w:spacing w:val="-11"/>
        </w:rPr>
        <w:t> </w:t>
      </w:r>
      <w:r>
        <w:rPr>
          <w:color w:val="231F20"/>
        </w:rPr>
        <w:t>duty</w:t>
      </w:r>
      <w:r>
        <w:rPr>
          <w:color w:val="231F20"/>
          <w:spacing w:val="-11"/>
        </w:rPr>
        <w:t> </w:t>
      </w:r>
      <w:r>
        <w:rPr>
          <w:color w:val="231F20"/>
        </w:rPr>
        <w:t>of</w:t>
      </w:r>
      <w:r>
        <w:rPr>
          <w:color w:val="231F20"/>
          <w:spacing w:val="-12"/>
        </w:rPr>
        <w:t> </w:t>
      </w:r>
      <w:r>
        <w:rPr>
          <w:color w:val="231F20"/>
        </w:rPr>
        <w:t>care</w:t>
      </w:r>
      <w:r>
        <w:rPr>
          <w:color w:val="231F20"/>
          <w:spacing w:val="-11"/>
        </w:rPr>
        <w:t> </w:t>
      </w:r>
      <w:r>
        <w:rPr>
          <w:color w:val="231F20"/>
        </w:rPr>
        <w:t>for</w:t>
      </w:r>
      <w:r>
        <w:rPr>
          <w:color w:val="231F20"/>
          <w:spacing w:val="-11"/>
        </w:rPr>
        <w:t> </w:t>
      </w:r>
      <w:r>
        <w:rPr>
          <w:color w:val="231F20"/>
        </w:rPr>
        <w:t>young</w:t>
      </w:r>
      <w:r>
        <w:rPr>
          <w:color w:val="231F20"/>
          <w:spacing w:val="-12"/>
        </w:rPr>
        <w:t> </w:t>
      </w:r>
      <w:r>
        <w:rPr>
          <w:color w:val="231F20"/>
        </w:rPr>
        <w:t>people</w:t>
      </w:r>
      <w:r>
        <w:rPr>
          <w:color w:val="231F20"/>
          <w:spacing w:val="-11"/>
        </w:rPr>
        <w:t> </w:t>
      </w:r>
      <w:r>
        <w:rPr>
          <w:color w:val="231F20"/>
        </w:rPr>
        <w:t>has</w:t>
      </w:r>
      <w:r>
        <w:rPr>
          <w:color w:val="231F20"/>
          <w:spacing w:val="-11"/>
        </w:rPr>
        <w:t> </w:t>
      </w:r>
      <w:r>
        <w:rPr>
          <w:color w:val="231F20"/>
        </w:rPr>
        <w:t>a</w:t>
      </w:r>
      <w:r>
        <w:rPr>
          <w:color w:val="231F20"/>
          <w:spacing w:val="-12"/>
        </w:rPr>
        <w:t> </w:t>
      </w:r>
      <w:r>
        <w:rPr>
          <w:color w:val="231F20"/>
        </w:rPr>
        <w:t>responsibility</w:t>
      </w:r>
      <w:r>
        <w:rPr>
          <w:color w:val="231F20"/>
          <w:spacing w:val="-11"/>
        </w:rPr>
        <w:t> </w:t>
      </w:r>
      <w:r>
        <w:rPr>
          <w:color w:val="231F20"/>
        </w:rPr>
        <w:t>to</w:t>
      </w:r>
      <w:r>
        <w:rPr>
          <w:color w:val="231F20"/>
          <w:spacing w:val="-11"/>
        </w:rPr>
        <w:t> </w:t>
      </w:r>
      <w:r>
        <w:rPr>
          <w:color w:val="231F20"/>
        </w:rPr>
        <w:t>be protective, rather than possessive. For this reason </w:t>
      </w:r>
      <w:r>
        <w:rPr>
          <w:color w:val="231F20"/>
          <w:spacing w:val="-3"/>
        </w:rPr>
        <w:t>we </w:t>
      </w:r>
      <w:r>
        <w:rPr>
          <w:color w:val="231F20"/>
        </w:rPr>
        <w:t>must all reaﬃrm our</w:t>
      </w:r>
      <w:r>
        <w:rPr>
          <w:color w:val="231F20"/>
          <w:spacing w:val="-28"/>
        </w:rPr>
        <w:t> </w:t>
      </w:r>
      <w:r>
        <w:rPr>
          <w:color w:val="231F20"/>
          <w:spacing w:val="-3"/>
        </w:rPr>
        <w:t>com- </w:t>
      </w:r>
      <w:r>
        <w:rPr>
          <w:color w:val="231F20"/>
        </w:rPr>
        <w:t>mitment to the culture of safeguarding which </w:t>
      </w:r>
      <w:r>
        <w:rPr>
          <w:color w:val="231F20"/>
          <w:spacing w:val="-3"/>
        </w:rPr>
        <w:t>we </w:t>
      </w:r>
      <w:r>
        <w:rPr>
          <w:color w:val="231F20"/>
        </w:rPr>
        <w:t>rightly strive to embed in </w:t>
      </w:r>
      <w:r>
        <w:rPr>
          <w:color w:val="231F20"/>
          <w:spacing w:val="-5"/>
        </w:rPr>
        <w:t>our </w:t>
      </w:r>
      <w:r>
        <w:rPr>
          <w:color w:val="231F20"/>
        </w:rPr>
        <w:t>society and its institutions.</w:t>
      </w:r>
    </w:p>
    <w:p>
      <w:pPr>
        <w:pStyle w:val="BodyText"/>
        <w:spacing w:before="9"/>
        <w:rPr>
          <w:rFonts w:ascii="Palatino Linotype"/>
          <w:sz w:val="25"/>
        </w:rPr>
      </w:pPr>
    </w:p>
    <w:p>
      <w:pPr>
        <w:pStyle w:val="Heading5"/>
        <w:spacing w:line="216" w:lineRule="auto"/>
        <w:ind w:left="907" w:right="771"/>
      </w:pPr>
      <w:r>
        <w:rPr>
          <w:color w:val="231F20"/>
        </w:rPr>
        <w:t>In Jesus, </w:t>
      </w:r>
      <w:r>
        <w:rPr>
          <w:color w:val="231F20"/>
          <w:spacing w:val="-3"/>
        </w:rPr>
        <w:t>we </w:t>
      </w:r>
      <w:r>
        <w:rPr>
          <w:color w:val="231F20"/>
        </w:rPr>
        <w:t>have the model of perfect desiring love. He invites us to draw </w:t>
      </w:r>
      <w:r>
        <w:rPr>
          <w:color w:val="231F20"/>
          <w:spacing w:val="-3"/>
        </w:rPr>
        <w:t>near </w:t>
      </w:r>
      <w:r>
        <w:rPr>
          <w:color w:val="231F20"/>
        </w:rPr>
        <w:t>and</w:t>
      </w:r>
      <w:r>
        <w:rPr>
          <w:color w:val="231F20"/>
          <w:spacing w:val="-11"/>
        </w:rPr>
        <w:t> </w:t>
      </w:r>
      <w:r>
        <w:rPr>
          <w:color w:val="231F20"/>
        </w:rPr>
        <w:t>live</w:t>
      </w:r>
      <w:r>
        <w:rPr>
          <w:color w:val="231F20"/>
          <w:spacing w:val="-11"/>
        </w:rPr>
        <w:t> </w:t>
      </w:r>
      <w:r>
        <w:rPr>
          <w:color w:val="231F20"/>
        </w:rPr>
        <w:t>within</w:t>
      </w:r>
      <w:r>
        <w:rPr>
          <w:color w:val="231F20"/>
          <w:spacing w:val="-11"/>
        </w:rPr>
        <w:t> </w:t>
      </w:r>
      <w:r>
        <w:rPr>
          <w:color w:val="231F20"/>
        </w:rPr>
        <w:t>His</w:t>
      </w:r>
      <w:r>
        <w:rPr>
          <w:color w:val="231F20"/>
          <w:spacing w:val="-11"/>
        </w:rPr>
        <w:t> </w:t>
      </w:r>
      <w:r>
        <w:rPr>
          <w:color w:val="231F20"/>
        </w:rPr>
        <w:t>love</w:t>
      </w:r>
      <w:r>
        <w:rPr>
          <w:color w:val="231F20"/>
          <w:spacing w:val="-11"/>
        </w:rPr>
        <w:t> </w:t>
      </w:r>
      <w:r>
        <w:rPr>
          <w:color w:val="231F20"/>
        </w:rPr>
        <w:t>as</w:t>
      </w:r>
      <w:r>
        <w:rPr>
          <w:color w:val="231F20"/>
          <w:spacing w:val="-11"/>
        </w:rPr>
        <w:t> </w:t>
      </w:r>
      <w:r>
        <w:rPr>
          <w:color w:val="231F20"/>
        </w:rPr>
        <w:t>if</w:t>
      </w:r>
      <w:r>
        <w:rPr>
          <w:color w:val="231F20"/>
          <w:spacing w:val="-10"/>
        </w:rPr>
        <w:t> </w:t>
      </w:r>
      <w:r>
        <w:rPr>
          <w:color w:val="231F20"/>
          <w:spacing w:val="-3"/>
        </w:rPr>
        <w:t>we</w:t>
      </w:r>
      <w:r>
        <w:rPr>
          <w:color w:val="231F20"/>
          <w:spacing w:val="-11"/>
        </w:rPr>
        <w:t> </w:t>
      </w:r>
      <w:r>
        <w:rPr>
          <w:color w:val="231F20"/>
        </w:rPr>
        <w:t>were</w:t>
      </w:r>
      <w:r>
        <w:rPr>
          <w:color w:val="231F20"/>
          <w:spacing w:val="-11"/>
        </w:rPr>
        <w:t> </w:t>
      </w:r>
      <w:r>
        <w:rPr>
          <w:color w:val="231F20"/>
        </w:rPr>
        <w:t>'pitching</w:t>
      </w:r>
      <w:r>
        <w:rPr>
          <w:color w:val="231F20"/>
          <w:spacing w:val="-11"/>
        </w:rPr>
        <w:t> </w:t>
      </w:r>
      <w:r>
        <w:rPr>
          <w:color w:val="231F20"/>
        </w:rPr>
        <w:t>our</w:t>
      </w:r>
      <w:r>
        <w:rPr>
          <w:color w:val="231F20"/>
          <w:spacing w:val="-11"/>
        </w:rPr>
        <w:t> </w:t>
      </w:r>
      <w:r>
        <w:rPr>
          <w:color w:val="231F20"/>
        </w:rPr>
        <w:t>tent'</w:t>
      </w:r>
      <w:r>
        <w:rPr>
          <w:color w:val="231F20"/>
          <w:spacing w:val="-11"/>
        </w:rPr>
        <w:t> </w:t>
      </w:r>
      <w:r>
        <w:rPr>
          <w:color w:val="231F20"/>
        </w:rPr>
        <w:t>within</w:t>
      </w:r>
      <w:r>
        <w:rPr>
          <w:color w:val="231F20"/>
          <w:spacing w:val="-11"/>
        </w:rPr>
        <w:t> </w:t>
      </w:r>
      <w:r>
        <w:rPr>
          <w:color w:val="231F20"/>
        </w:rPr>
        <w:t>the</w:t>
      </w:r>
      <w:r>
        <w:rPr>
          <w:color w:val="231F20"/>
          <w:spacing w:val="-10"/>
        </w:rPr>
        <w:t> </w:t>
      </w:r>
      <w:r>
        <w:rPr>
          <w:color w:val="231F20"/>
        </w:rPr>
        <w:t>shelter</w:t>
      </w:r>
      <w:r>
        <w:rPr>
          <w:color w:val="231F20"/>
          <w:spacing w:val="-11"/>
        </w:rPr>
        <w:t> </w:t>
      </w:r>
      <w:r>
        <w:rPr>
          <w:color w:val="231F20"/>
        </w:rPr>
        <w:t>of</w:t>
      </w:r>
      <w:r>
        <w:rPr>
          <w:color w:val="231F20"/>
          <w:spacing w:val="-11"/>
        </w:rPr>
        <w:t> </w:t>
      </w:r>
      <w:r>
        <w:rPr>
          <w:color w:val="231F20"/>
        </w:rPr>
        <w:t>His embrace. This is always and simply an invitation; there is no compunction to abide in His love, other than the prospect of depriving ourselves of joy if we refuse:</w:t>
      </w:r>
    </w:p>
    <w:p>
      <w:pPr>
        <w:pStyle w:val="Heading6"/>
        <w:spacing w:line="216" w:lineRule="auto" w:before="272"/>
        <w:ind w:left="1464" w:right="761" w:hanging="68"/>
      </w:pPr>
      <w:r>
        <w:rPr>
          <w:i/>
          <w:color w:val="231F20"/>
        </w:rPr>
        <w:t>Jesus said to His disciples, </w:t>
      </w:r>
      <w:r>
        <w:rPr>
          <w:i/>
          <w:color w:val="231F20"/>
          <w:spacing w:val="-14"/>
        </w:rPr>
        <w:t>‘As </w:t>
      </w:r>
      <w:r>
        <w:rPr>
          <w:i/>
          <w:color w:val="231F20"/>
        </w:rPr>
        <w:t>the Father has loved me, so have I loved you; abide</w:t>
      </w:r>
      <w:r>
        <w:rPr>
          <w:i/>
          <w:color w:val="231F20"/>
          <w:spacing w:val="-1"/>
        </w:rPr>
        <w:t> </w:t>
      </w:r>
      <w:r>
        <w:rPr>
          <w:i/>
          <w:color w:val="231F20"/>
          <w:spacing w:val="-8"/>
        </w:rPr>
        <w:t>in</w:t>
      </w:r>
      <w:r>
        <w:rPr>
          <w:color w:val="231F20"/>
        </w:rPr>
        <w:t> my love. If you keep my commandments, you will abide in my love, just as</w:t>
      </w:r>
      <w:r>
        <w:rPr>
          <w:color w:val="231F20"/>
          <w:spacing w:val="-15"/>
        </w:rPr>
        <w:t> </w:t>
      </w:r>
      <w:r>
        <w:rPr>
          <w:color w:val="231F20"/>
        </w:rPr>
        <w:t>I have kept my Father’s commandments and abide in His love. These things I</w:t>
      </w:r>
      <w:r>
        <w:rPr>
          <w:color w:val="231F20"/>
          <w:spacing w:val="-14"/>
        </w:rPr>
        <w:t> </w:t>
      </w:r>
      <w:r>
        <w:rPr>
          <w:color w:val="231F20"/>
        </w:rPr>
        <w:t>have</w:t>
      </w:r>
      <w:r>
        <w:rPr>
          <w:color w:val="231F20"/>
          <w:spacing w:val="-1"/>
        </w:rPr>
        <w:t> </w:t>
      </w:r>
      <w:r>
        <w:rPr>
          <w:color w:val="231F20"/>
          <w:spacing w:val="-3"/>
        </w:rPr>
        <w:t>spoken</w:t>
      </w:r>
      <w:r>
        <w:rPr>
          <w:color w:val="231F20"/>
        </w:rPr>
        <w:t> to you, that my joy may be in you, and that your joy may be full. This is my commandment, that you love one another as I have loved</w:t>
      </w:r>
      <w:r>
        <w:rPr>
          <w:color w:val="231F20"/>
          <w:spacing w:val="-15"/>
        </w:rPr>
        <w:t> </w:t>
      </w:r>
      <w:r>
        <w:rPr>
          <w:color w:val="231F20"/>
        </w:rPr>
        <w:t>you.’</w:t>
      </w:r>
    </w:p>
    <w:p>
      <w:pPr>
        <w:pStyle w:val="Heading5"/>
        <w:spacing w:line="353" w:lineRule="exact"/>
        <w:ind w:right="761"/>
        <w:jc w:val="right"/>
      </w:pPr>
      <w:r>
        <w:rPr>
          <w:color w:val="231F20"/>
        </w:rPr>
        <w:t>John 15: 9-12</w:t>
      </w:r>
    </w:p>
    <w:p>
      <w:pPr>
        <w:spacing w:after="0" w:line="353" w:lineRule="exact"/>
        <w:jc w:val="right"/>
        <w:sectPr>
          <w:headerReference w:type="default" r:id="rId147"/>
          <w:footerReference w:type="default" r:id="rId148"/>
          <w:pgSz w:w="11910" w:h="16840"/>
          <w:pgMar w:header="0" w:footer="1087" w:top="1520" w:bottom="1280" w:left="160" w:right="220"/>
          <w:pgNumType w:start="14"/>
        </w:sectPr>
      </w:pPr>
    </w:p>
    <w:p>
      <w:pPr>
        <w:spacing w:line="216" w:lineRule="auto" w:before="50"/>
        <w:ind w:left="902" w:right="0" w:firstLine="608"/>
        <w:jc w:val="right"/>
        <w:rPr>
          <w:rFonts w:ascii="Palatino Linotype" w:hAnsi="Palatino Linotype"/>
          <w:b/>
          <w:i/>
          <w:sz w:val="48"/>
        </w:rPr>
      </w:pPr>
      <w:r>
        <w:rPr>
          <w:rFonts w:ascii="Palatino Linotype" w:hAnsi="Palatino Linotype"/>
          <w:b/>
          <w:i/>
          <w:color w:val="008790"/>
          <w:sz w:val="48"/>
        </w:rPr>
        <w:t>“Jesus challenges</w:t>
      </w:r>
      <w:r>
        <w:rPr>
          <w:rFonts w:ascii="Palatino Linotype" w:hAnsi="Palatino Linotype"/>
          <w:b/>
          <w:i/>
          <w:color w:val="008790"/>
          <w:spacing w:val="-5"/>
          <w:sz w:val="48"/>
        </w:rPr>
        <w:t> </w:t>
      </w:r>
      <w:r>
        <w:rPr>
          <w:rFonts w:ascii="Palatino Linotype" w:hAnsi="Palatino Linotype"/>
          <w:b/>
          <w:i/>
          <w:color w:val="008790"/>
          <w:sz w:val="48"/>
        </w:rPr>
        <w:t>us</w:t>
      </w:r>
      <w:r>
        <w:rPr>
          <w:rFonts w:ascii="Palatino Linotype" w:hAnsi="Palatino Linotype"/>
          <w:b/>
          <w:i/>
          <w:color w:val="008790"/>
          <w:spacing w:val="-3"/>
          <w:sz w:val="48"/>
        </w:rPr>
        <w:t> </w:t>
      </w:r>
      <w:r>
        <w:rPr>
          <w:rFonts w:ascii="Palatino Linotype" w:hAnsi="Palatino Linotype"/>
          <w:b/>
          <w:i/>
          <w:color w:val="008790"/>
          <w:spacing w:val="-6"/>
          <w:sz w:val="48"/>
        </w:rPr>
        <w:t>to</w:t>
      </w:r>
      <w:r>
        <w:rPr>
          <w:rFonts w:ascii="Palatino Linotype" w:hAnsi="Palatino Linotype"/>
          <w:b/>
          <w:i/>
          <w:color w:val="008790"/>
          <w:sz w:val="48"/>
        </w:rPr>
        <w:t> </w:t>
      </w:r>
      <w:r>
        <w:rPr>
          <w:rFonts w:ascii="Palatino Linotype" w:hAnsi="Palatino Linotype"/>
          <w:b/>
          <w:i/>
          <w:color w:val="008790"/>
          <w:spacing w:val="-3"/>
          <w:sz w:val="48"/>
        </w:rPr>
        <w:t>love </w:t>
      </w:r>
      <w:r>
        <w:rPr>
          <w:rFonts w:ascii="Palatino Linotype" w:hAnsi="Palatino Linotype"/>
          <w:b/>
          <w:i/>
          <w:color w:val="008790"/>
          <w:sz w:val="48"/>
        </w:rPr>
        <w:t>one another</w:t>
      </w:r>
      <w:r>
        <w:rPr>
          <w:rFonts w:ascii="Palatino Linotype" w:hAnsi="Palatino Linotype"/>
          <w:b/>
          <w:i/>
          <w:color w:val="008790"/>
          <w:spacing w:val="2"/>
          <w:sz w:val="48"/>
        </w:rPr>
        <w:t> </w:t>
      </w:r>
      <w:r>
        <w:rPr>
          <w:rFonts w:ascii="Palatino Linotype" w:hAnsi="Palatino Linotype"/>
          <w:b/>
          <w:i/>
          <w:color w:val="008790"/>
          <w:sz w:val="48"/>
        </w:rPr>
        <w:t>as He has loved us, and not</w:t>
      </w:r>
      <w:r>
        <w:rPr>
          <w:rFonts w:ascii="Palatino Linotype" w:hAnsi="Palatino Linotype"/>
          <w:b/>
          <w:i/>
          <w:color w:val="008790"/>
          <w:spacing w:val="-11"/>
          <w:sz w:val="48"/>
        </w:rPr>
        <w:t> </w:t>
      </w:r>
      <w:r>
        <w:rPr>
          <w:rFonts w:ascii="Palatino Linotype" w:hAnsi="Palatino Linotype"/>
          <w:b/>
          <w:i/>
          <w:color w:val="008790"/>
          <w:sz w:val="48"/>
        </w:rPr>
        <w:t>in</w:t>
      </w:r>
      <w:r>
        <w:rPr>
          <w:rFonts w:ascii="Palatino Linotype" w:hAnsi="Palatino Linotype"/>
          <w:b/>
          <w:i/>
          <w:color w:val="008790"/>
          <w:spacing w:val="-1"/>
          <w:sz w:val="48"/>
        </w:rPr>
        <w:t> </w:t>
      </w:r>
      <w:r>
        <w:rPr>
          <w:rFonts w:ascii="Palatino Linotype" w:hAnsi="Palatino Linotype"/>
          <w:b/>
          <w:i/>
          <w:color w:val="008790"/>
          <w:spacing w:val="-16"/>
          <w:sz w:val="48"/>
        </w:rPr>
        <w:t>a</w:t>
      </w:r>
      <w:r>
        <w:rPr>
          <w:rFonts w:ascii="Palatino Linotype" w:hAnsi="Palatino Linotype"/>
          <w:b/>
          <w:i/>
          <w:color w:val="008790"/>
          <w:sz w:val="48"/>
        </w:rPr>
        <w:t> possessive,</w:t>
      </w:r>
      <w:r>
        <w:rPr>
          <w:rFonts w:ascii="Palatino Linotype" w:hAnsi="Palatino Linotype"/>
          <w:b/>
          <w:i/>
          <w:color w:val="008790"/>
          <w:spacing w:val="-16"/>
          <w:sz w:val="48"/>
        </w:rPr>
        <w:t> </w:t>
      </w:r>
      <w:r>
        <w:rPr>
          <w:rFonts w:ascii="Palatino Linotype" w:hAnsi="Palatino Linotype"/>
          <w:b/>
          <w:i/>
          <w:color w:val="008790"/>
          <w:sz w:val="48"/>
        </w:rPr>
        <w:t>diminishing</w:t>
      </w:r>
    </w:p>
    <w:p>
      <w:pPr>
        <w:spacing w:line="607" w:lineRule="exact" w:before="0"/>
        <w:ind w:left="0" w:right="0" w:firstLine="0"/>
        <w:jc w:val="right"/>
        <w:rPr>
          <w:rFonts w:ascii="Palatino Linotype" w:hAnsi="Palatino Linotype"/>
          <w:b/>
          <w:i/>
          <w:sz w:val="48"/>
        </w:rPr>
      </w:pPr>
      <w:r>
        <w:rPr>
          <w:rFonts w:ascii="Palatino Linotype" w:hAnsi="Palatino Linotype"/>
          <w:b/>
          <w:i/>
          <w:color w:val="008790"/>
          <w:spacing w:val="-3"/>
          <w:sz w:val="48"/>
        </w:rPr>
        <w:t>way.”</w:t>
      </w:r>
    </w:p>
    <w:p>
      <w:pPr>
        <w:pStyle w:val="Heading5"/>
        <w:spacing w:line="216" w:lineRule="auto" w:before="118"/>
        <w:ind w:left="179" w:right="766"/>
      </w:pPr>
      <w:r>
        <w:rPr/>
        <w:br w:type="column"/>
      </w:r>
      <w:r>
        <w:rPr>
          <w:color w:val="231F20"/>
        </w:rPr>
        <w:t>Jesus challenges us to love one another as He has loved us, and not in a possessive, diminishing way. He oﬀers all of us, His </w:t>
      </w:r>
      <w:r>
        <w:rPr>
          <w:color w:val="231F20"/>
          <w:spacing w:val="-5"/>
        </w:rPr>
        <w:t>loved </w:t>
      </w:r>
      <w:r>
        <w:rPr>
          <w:color w:val="231F20"/>
        </w:rPr>
        <w:t>ones,</w:t>
      </w:r>
      <w:r>
        <w:rPr>
          <w:color w:val="231F20"/>
          <w:spacing w:val="-17"/>
        </w:rPr>
        <w:t> </w:t>
      </w:r>
      <w:r>
        <w:rPr>
          <w:color w:val="231F20"/>
        </w:rPr>
        <w:t>the</w:t>
      </w:r>
      <w:r>
        <w:rPr>
          <w:color w:val="231F20"/>
          <w:spacing w:val="-17"/>
        </w:rPr>
        <w:t> </w:t>
      </w:r>
      <w:r>
        <w:rPr>
          <w:color w:val="231F20"/>
        </w:rPr>
        <w:t>chance</w:t>
      </w:r>
      <w:r>
        <w:rPr>
          <w:color w:val="231F20"/>
          <w:spacing w:val="-16"/>
        </w:rPr>
        <w:t> </w:t>
      </w:r>
      <w:r>
        <w:rPr>
          <w:color w:val="231F20"/>
        </w:rPr>
        <w:t>to</w:t>
      </w:r>
      <w:r>
        <w:rPr>
          <w:color w:val="231F20"/>
          <w:spacing w:val="-17"/>
        </w:rPr>
        <w:t> </w:t>
      </w:r>
      <w:r>
        <w:rPr>
          <w:color w:val="231F20"/>
        </w:rPr>
        <w:t>think</w:t>
      </w:r>
      <w:r>
        <w:rPr>
          <w:color w:val="231F20"/>
          <w:spacing w:val="-16"/>
        </w:rPr>
        <w:t> </w:t>
      </w:r>
      <w:r>
        <w:rPr>
          <w:color w:val="231F20"/>
        </w:rPr>
        <w:t>of</w:t>
      </w:r>
      <w:r>
        <w:rPr>
          <w:color w:val="231F20"/>
          <w:spacing w:val="-17"/>
        </w:rPr>
        <w:t> </w:t>
      </w:r>
      <w:r>
        <w:rPr>
          <w:color w:val="231F20"/>
          <w:spacing w:val="-3"/>
        </w:rPr>
        <w:t>love</w:t>
      </w:r>
      <w:r>
        <w:rPr>
          <w:color w:val="231F20"/>
          <w:spacing w:val="-16"/>
        </w:rPr>
        <w:t> </w:t>
      </w:r>
      <w:r>
        <w:rPr>
          <w:color w:val="231F20"/>
        </w:rPr>
        <w:t>as a state of life in imitation of </w:t>
      </w:r>
      <w:r>
        <w:rPr>
          <w:color w:val="231F20"/>
          <w:spacing w:val="-4"/>
        </w:rPr>
        <w:t>Him, </w:t>
      </w:r>
      <w:r>
        <w:rPr>
          <w:color w:val="231F20"/>
        </w:rPr>
        <w:t>rather than a transient series of loving encounters.</w:t>
      </w:r>
    </w:p>
    <w:p>
      <w:pPr>
        <w:spacing w:after="0" w:line="216" w:lineRule="auto"/>
        <w:sectPr>
          <w:type w:val="continuous"/>
          <w:pgSz w:w="11910" w:h="16840"/>
          <w:pgMar w:top="1320" w:bottom="1640" w:left="160" w:right="220"/>
          <w:cols w:num="2" w:equalWidth="0">
            <w:col w:w="6351" w:space="40"/>
            <w:col w:w="5139"/>
          </w:cols>
        </w:sectPr>
      </w:pPr>
    </w:p>
    <w:p>
      <w:pPr>
        <w:pStyle w:val="Heading5"/>
        <w:spacing w:before="143"/>
        <w:ind w:left="939"/>
        <w:jc w:val="left"/>
      </w:pPr>
      <w:r>
        <w:rPr>
          <w:color w:val="231F20"/>
        </w:rPr>
        <w:t>In the next chapter, we explore another way to learn how to love as he loved us.</w:t>
      </w:r>
    </w:p>
    <w:p>
      <w:pPr>
        <w:spacing w:after="0"/>
        <w:jc w:val="left"/>
        <w:sectPr>
          <w:type w:val="continuous"/>
          <w:pgSz w:w="11910" w:h="16840"/>
          <w:pgMar w:top="1320" w:bottom="1640" w:left="160" w:right="220"/>
        </w:sectPr>
      </w:pPr>
    </w:p>
    <w:p>
      <w:pPr>
        <w:spacing w:before="72"/>
        <w:ind w:left="816" w:right="0" w:firstLine="0"/>
        <w:jc w:val="left"/>
        <w:rPr>
          <w:rFonts w:ascii="Palatino Linotype"/>
          <w:sz w:val="48"/>
        </w:rPr>
      </w:pPr>
      <w:r>
        <w:rPr>
          <w:rFonts w:ascii="Palatino Linotype"/>
          <w:color w:val="008790"/>
          <w:sz w:val="48"/>
        </w:rPr>
        <w:t>chapter 3 - appreciative love</w:t>
      </w:r>
    </w:p>
    <w:p>
      <w:pPr>
        <w:pStyle w:val="BodyText"/>
        <w:spacing w:before="11"/>
        <w:rPr>
          <w:rFonts w:ascii="Palatino Linotype"/>
          <w:sz w:val="27"/>
        </w:rPr>
      </w:pPr>
    </w:p>
    <w:p>
      <w:pPr>
        <w:pStyle w:val="Heading6"/>
        <w:spacing w:line="216" w:lineRule="auto" w:before="131"/>
        <w:ind w:left="1304" w:right="741" w:firstLine="358"/>
        <w:jc w:val="both"/>
      </w:pPr>
      <w:r>
        <w:rPr>
          <w:i/>
          <w:color w:val="231F20"/>
        </w:rPr>
        <w:t>Love is patient and kind; love is not jealous or boastful; it is not arrogant or </w:t>
      </w:r>
      <w:r>
        <w:rPr>
          <w:i/>
          <w:color w:val="231F20"/>
          <w:spacing w:val="-4"/>
        </w:rPr>
        <w:t>rude. </w:t>
      </w:r>
      <w:r>
        <w:rPr>
          <w:color w:val="231F20"/>
        </w:rPr>
        <w:t>Love does not insist on its own way; it is not irritable or resentful; it does not rejoice at wrong, but rejoices in the right. Love bears all things, believes all things, hopes</w:t>
      </w:r>
      <w:r>
        <w:rPr>
          <w:color w:val="231F20"/>
          <w:spacing w:val="-9"/>
        </w:rPr>
        <w:t> </w:t>
      </w:r>
      <w:r>
        <w:rPr>
          <w:color w:val="231F20"/>
          <w:spacing w:val="-6"/>
        </w:rPr>
        <w:t>all</w:t>
      </w:r>
    </w:p>
    <w:p>
      <w:pPr>
        <w:pStyle w:val="Heading6"/>
        <w:spacing w:line="334" w:lineRule="exact"/>
        <w:ind w:right="741"/>
        <w:rPr>
          <w:i/>
        </w:rPr>
      </w:pPr>
      <w:r>
        <w:rPr>
          <w:i/>
          <w:color w:val="231F20"/>
        </w:rPr>
        <w:t>things, endures all things.  Love never</w:t>
      </w:r>
      <w:r>
        <w:rPr>
          <w:i/>
          <w:color w:val="231F20"/>
          <w:spacing w:val="-10"/>
        </w:rPr>
        <w:t> </w:t>
      </w:r>
      <w:r>
        <w:rPr>
          <w:i/>
          <w:color w:val="231F20"/>
        </w:rPr>
        <w:t>ends.</w:t>
      </w:r>
    </w:p>
    <w:p>
      <w:pPr>
        <w:pStyle w:val="Heading5"/>
        <w:spacing w:line="360" w:lineRule="exact"/>
        <w:ind w:right="741"/>
        <w:jc w:val="right"/>
      </w:pPr>
      <w:r>
        <w:rPr>
          <w:color w:val="231F20"/>
        </w:rPr>
        <w:t>1 Corinthians 13:4-8</w:t>
      </w:r>
    </w:p>
    <w:p>
      <w:pPr>
        <w:pStyle w:val="Heading5"/>
        <w:spacing w:line="216" w:lineRule="auto" w:before="234"/>
        <w:ind w:left="817" w:right="741"/>
      </w:pPr>
      <w:r>
        <w:rPr>
          <w:color w:val="231F20"/>
        </w:rPr>
        <w:t>In this passage from his same letter to the Corinthians, St. Paul provides a wonderful description of love.</w:t>
      </w:r>
    </w:p>
    <w:p>
      <w:pPr>
        <w:pStyle w:val="BodyText"/>
        <w:spacing w:before="7"/>
        <w:rPr>
          <w:rFonts w:ascii="Palatino Linotype"/>
          <w:sz w:val="25"/>
        </w:rPr>
      </w:pPr>
    </w:p>
    <w:p>
      <w:pPr>
        <w:pStyle w:val="Heading5"/>
        <w:spacing w:line="216" w:lineRule="auto"/>
        <w:ind w:left="817" w:right="741"/>
      </w:pPr>
      <w:r>
        <w:rPr>
          <w:color w:val="231F20"/>
        </w:rPr>
        <w:t>An entire chapter of </w:t>
      </w:r>
      <w:r>
        <w:rPr>
          <w:i/>
          <w:color w:val="231F20"/>
        </w:rPr>
        <w:t>Amoris Laetitia </w:t>
      </w:r>
      <w:r>
        <w:rPr>
          <w:color w:val="231F20"/>
        </w:rPr>
        <w:t>is devoted to meditating on this 'lyrical passage'</w:t>
      </w:r>
      <w:r>
        <w:rPr>
          <w:color w:val="231F20"/>
          <w:spacing w:val="-24"/>
        </w:rPr>
        <w:t> </w:t>
      </w:r>
      <w:r>
        <w:rPr>
          <w:color w:val="231F20"/>
        </w:rPr>
        <w:t>which</w:t>
      </w:r>
      <w:r>
        <w:rPr>
          <w:color w:val="231F20"/>
          <w:spacing w:val="-23"/>
        </w:rPr>
        <w:t> </w:t>
      </w:r>
      <w:r>
        <w:rPr>
          <w:color w:val="231F20"/>
        </w:rPr>
        <w:t>'describes</w:t>
      </w:r>
      <w:r>
        <w:rPr>
          <w:color w:val="231F20"/>
          <w:spacing w:val="-23"/>
        </w:rPr>
        <w:t> </w:t>
      </w:r>
      <w:r>
        <w:rPr>
          <w:color w:val="231F20"/>
        </w:rPr>
        <w:t>the</w:t>
      </w:r>
      <w:r>
        <w:rPr>
          <w:color w:val="231F20"/>
          <w:spacing w:val="-23"/>
        </w:rPr>
        <w:t> </w:t>
      </w:r>
      <w:r>
        <w:rPr>
          <w:color w:val="231F20"/>
        </w:rPr>
        <w:t>features</w:t>
      </w:r>
      <w:r>
        <w:rPr>
          <w:color w:val="231F20"/>
          <w:spacing w:val="-24"/>
        </w:rPr>
        <w:t> </w:t>
      </w:r>
      <w:r>
        <w:rPr>
          <w:color w:val="231F20"/>
        </w:rPr>
        <w:t>of</w:t>
      </w:r>
      <w:r>
        <w:rPr>
          <w:color w:val="231F20"/>
          <w:spacing w:val="-23"/>
        </w:rPr>
        <w:t> </w:t>
      </w:r>
      <w:r>
        <w:rPr>
          <w:color w:val="231F20"/>
        </w:rPr>
        <w:t>true</w:t>
      </w:r>
      <w:r>
        <w:rPr>
          <w:color w:val="231F20"/>
          <w:spacing w:val="-23"/>
        </w:rPr>
        <w:t> </w:t>
      </w:r>
      <w:r>
        <w:rPr>
          <w:color w:val="231F20"/>
          <w:spacing w:val="-3"/>
        </w:rPr>
        <w:t>love'</w:t>
      </w:r>
      <w:r>
        <w:rPr>
          <w:color w:val="231F20"/>
          <w:spacing w:val="-23"/>
        </w:rPr>
        <w:t> </w:t>
      </w:r>
      <w:r>
        <w:rPr>
          <w:color w:val="231F20"/>
        </w:rPr>
        <w:t>(AL90).</w:t>
      </w:r>
      <w:r>
        <w:rPr>
          <w:color w:val="231F20"/>
          <w:spacing w:val="-24"/>
        </w:rPr>
        <w:t> </w:t>
      </w:r>
      <w:r>
        <w:rPr>
          <w:color w:val="231F20"/>
        </w:rPr>
        <w:t>These</w:t>
      </w:r>
      <w:r>
        <w:rPr>
          <w:color w:val="231F20"/>
          <w:spacing w:val="-23"/>
        </w:rPr>
        <w:t> </w:t>
      </w:r>
      <w:r>
        <w:rPr>
          <w:color w:val="231F20"/>
        </w:rPr>
        <w:t>features</w:t>
      </w:r>
      <w:r>
        <w:rPr>
          <w:color w:val="231F20"/>
          <w:spacing w:val="-23"/>
        </w:rPr>
        <w:t> </w:t>
      </w:r>
      <w:r>
        <w:rPr>
          <w:color w:val="231F20"/>
        </w:rPr>
        <w:t>illustrate a quality of love that is diﬀerent from the more conventionally recognisable </w:t>
      </w:r>
      <w:r>
        <w:rPr>
          <w:color w:val="231F20"/>
          <w:spacing w:val="-5"/>
        </w:rPr>
        <w:t>one </w:t>
      </w:r>
      <w:r>
        <w:rPr>
          <w:color w:val="231F20"/>
        </w:rPr>
        <w:t>presented in the last chapter. It describes love in the ordinary daily business of living in companionship. It is the sort of love that grows in the face of</w:t>
      </w:r>
      <w:r>
        <w:rPr>
          <w:color w:val="231F20"/>
          <w:spacing w:val="-10"/>
        </w:rPr>
        <w:t> </w:t>
      </w:r>
      <w:r>
        <w:rPr>
          <w:color w:val="231F20"/>
        </w:rPr>
        <w:t>adversity:</w:t>
      </w:r>
    </w:p>
    <w:p>
      <w:pPr>
        <w:pStyle w:val="Heading6"/>
        <w:spacing w:line="216" w:lineRule="auto" w:before="228"/>
        <w:ind w:left="1390" w:right="755" w:firstLine="145"/>
      </w:pPr>
      <w:r>
        <w:rPr>
          <w:i/>
          <w:color w:val="231F20"/>
        </w:rPr>
        <w:t>The life of every family is marked by all kinds of crises, yet these are also part</w:t>
      </w:r>
      <w:r>
        <w:rPr>
          <w:i/>
          <w:color w:val="231F20"/>
          <w:spacing w:val="-9"/>
        </w:rPr>
        <w:t> </w:t>
      </w:r>
      <w:r>
        <w:rPr>
          <w:i/>
          <w:color w:val="231F20"/>
        </w:rPr>
        <w:t>of </w:t>
      </w:r>
      <w:r>
        <w:rPr>
          <w:i/>
          <w:color w:val="231F20"/>
          <w:spacing w:val="-6"/>
        </w:rPr>
        <w:t>its</w:t>
      </w:r>
      <w:r>
        <w:rPr>
          <w:color w:val="231F20"/>
        </w:rPr>
        <w:t> dramatic beauty. Couples should be helped to realise that surmounting a</w:t>
      </w:r>
      <w:r>
        <w:rPr>
          <w:color w:val="231F20"/>
          <w:spacing w:val="2"/>
        </w:rPr>
        <w:t> </w:t>
      </w:r>
      <w:r>
        <w:rPr>
          <w:color w:val="231F20"/>
        </w:rPr>
        <w:t>crisis </w:t>
      </w:r>
      <w:r>
        <w:rPr>
          <w:color w:val="231F20"/>
          <w:spacing w:val="-5"/>
        </w:rPr>
        <w:t>need</w:t>
      </w:r>
      <w:r>
        <w:rPr>
          <w:color w:val="231F20"/>
        </w:rPr>
        <w:t> not weaken their relationship; instead, it can improve, settle and mature the</w:t>
      </w:r>
      <w:r>
        <w:rPr>
          <w:color w:val="231F20"/>
          <w:spacing w:val="-26"/>
        </w:rPr>
        <w:t> </w:t>
      </w:r>
      <w:r>
        <w:rPr>
          <w:color w:val="231F20"/>
        </w:rPr>
        <w:t>wine</w:t>
      </w:r>
      <w:r>
        <w:rPr>
          <w:color w:val="231F20"/>
          <w:spacing w:val="-2"/>
        </w:rPr>
        <w:t> </w:t>
      </w:r>
      <w:r>
        <w:rPr>
          <w:color w:val="231F20"/>
        </w:rPr>
        <w:t>of their union...Each crisis becomes an apprenticeship in growing closer together or</w:t>
      </w:r>
    </w:p>
    <w:p>
      <w:pPr>
        <w:pStyle w:val="Heading6"/>
        <w:spacing w:line="336" w:lineRule="exact"/>
        <w:ind w:right="755"/>
        <w:rPr>
          <w:i/>
        </w:rPr>
      </w:pPr>
      <w:r>
        <w:rPr>
          <w:i/>
          <w:color w:val="231F20"/>
        </w:rPr>
        <w:t>learning a little more about what it means to be</w:t>
      </w:r>
      <w:r>
        <w:rPr>
          <w:i/>
          <w:color w:val="231F20"/>
          <w:spacing w:val="-18"/>
        </w:rPr>
        <w:t> </w:t>
      </w:r>
      <w:r>
        <w:rPr>
          <w:i/>
          <w:color w:val="231F20"/>
        </w:rPr>
        <w:t>married.</w:t>
      </w:r>
    </w:p>
    <w:p>
      <w:pPr>
        <w:pStyle w:val="Heading5"/>
        <w:spacing w:line="360" w:lineRule="exact"/>
        <w:ind w:right="755"/>
        <w:jc w:val="right"/>
      </w:pPr>
      <w:r>
        <w:rPr>
          <w:color w:val="231F20"/>
        </w:rPr>
        <w:t>AL 232</w:t>
      </w:r>
    </w:p>
    <w:p>
      <w:pPr>
        <w:pStyle w:val="Heading5"/>
        <w:spacing w:line="216" w:lineRule="auto" w:before="213"/>
        <w:ind w:left="803" w:right="755"/>
      </w:pPr>
      <w:r>
        <w:rPr>
          <w:color w:val="231F20"/>
        </w:rPr>
        <w:t>This</w:t>
      </w:r>
      <w:r>
        <w:rPr>
          <w:color w:val="231F20"/>
          <w:spacing w:val="-19"/>
        </w:rPr>
        <w:t> </w:t>
      </w:r>
      <w:r>
        <w:rPr>
          <w:color w:val="231F20"/>
        </w:rPr>
        <w:t>form</w:t>
      </w:r>
      <w:r>
        <w:rPr>
          <w:color w:val="231F20"/>
          <w:spacing w:val="-19"/>
        </w:rPr>
        <w:t> </w:t>
      </w:r>
      <w:r>
        <w:rPr>
          <w:color w:val="231F20"/>
        </w:rPr>
        <w:t>of</w:t>
      </w:r>
      <w:r>
        <w:rPr>
          <w:color w:val="231F20"/>
          <w:spacing w:val="-18"/>
        </w:rPr>
        <w:t> </w:t>
      </w:r>
      <w:r>
        <w:rPr>
          <w:color w:val="231F20"/>
          <w:spacing w:val="-3"/>
        </w:rPr>
        <w:t>love,</w:t>
      </w:r>
      <w:r>
        <w:rPr>
          <w:color w:val="231F20"/>
          <w:spacing w:val="-19"/>
        </w:rPr>
        <w:t> </w:t>
      </w:r>
      <w:r>
        <w:rPr>
          <w:color w:val="231F20"/>
        </w:rPr>
        <w:t>born</w:t>
      </w:r>
      <w:r>
        <w:rPr>
          <w:color w:val="231F20"/>
          <w:spacing w:val="-19"/>
        </w:rPr>
        <w:t> </w:t>
      </w:r>
      <w:r>
        <w:rPr>
          <w:color w:val="231F20"/>
        </w:rPr>
        <w:t>out</w:t>
      </w:r>
      <w:r>
        <w:rPr>
          <w:color w:val="231F20"/>
          <w:spacing w:val="-18"/>
        </w:rPr>
        <w:t> </w:t>
      </w:r>
      <w:r>
        <w:rPr>
          <w:color w:val="231F20"/>
        </w:rPr>
        <w:t>of</w:t>
      </w:r>
      <w:r>
        <w:rPr>
          <w:color w:val="231F20"/>
          <w:spacing w:val="-19"/>
        </w:rPr>
        <w:t> </w:t>
      </w:r>
      <w:r>
        <w:rPr>
          <w:color w:val="231F20"/>
        </w:rPr>
        <w:t>companionship,</w:t>
      </w:r>
      <w:r>
        <w:rPr>
          <w:color w:val="231F20"/>
          <w:spacing w:val="-18"/>
        </w:rPr>
        <w:t> </w:t>
      </w:r>
      <w:r>
        <w:rPr>
          <w:color w:val="231F20"/>
        </w:rPr>
        <w:t>is</w:t>
      </w:r>
      <w:r>
        <w:rPr>
          <w:color w:val="231F20"/>
          <w:spacing w:val="-19"/>
        </w:rPr>
        <w:t> </w:t>
      </w:r>
      <w:r>
        <w:rPr>
          <w:color w:val="231F20"/>
        </w:rPr>
        <w:t>closer</w:t>
      </w:r>
      <w:r>
        <w:rPr>
          <w:color w:val="231F20"/>
          <w:spacing w:val="-19"/>
        </w:rPr>
        <w:t> </w:t>
      </w:r>
      <w:r>
        <w:rPr>
          <w:color w:val="231F20"/>
        </w:rPr>
        <w:t>to</w:t>
      </w:r>
      <w:r>
        <w:rPr>
          <w:color w:val="231F20"/>
          <w:spacing w:val="-18"/>
        </w:rPr>
        <w:t> </w:t>
      </w:r>
      <w:r>
        <w:rPr>
          <w:color w:val="231F20"/>
        </w:rPr>
        <w:t>the</w:t>
      </w:r>
      <w:r>
        <w:rPr>
          <w:color w:val="231F20"/>
          <w:spacing w:val="-19"/>
        </w:rPr>
        <w:t> </w:t>
      </w:r>
      <w:r>
        <w:rPr>
          <w:color w:val="231F20"/>
        </w:rPr>
        <w:t>quality</w:t>
      </w:r>
      <w:r>
        <w:rPr>
          <w:color w:val="231F20"/>
          <w:spacing w:val="-18"/>
        </w:rPr>
        <w:t> </w:t>
      </w:r>
      <w:r>
        <w:rPr>
          <w:color w:val="231F20"/>
        </w:rPr>
        <w:t>of</w:t>
      </w:r>
      <w:r>
        <w:rPr>
          <w:color w:val="231F20"/>
          <w:spacing w:val="-19"/>
        </w:rPr>
        <w:t> </w:t>
      </w:r>
      <w:r>
        <w:rPr>
          <w:color w:val="231F20"/>
          <w:spacing w:val="-3"/>
        </w:rPr>
        <w:t>love</w:t>
      </w:r>
      <w:r>
        <w:rPr>
          <w:color w:val="231F20"/>
          <w:spacing w:val="-19"/>
        </w:rPr>
        <w:t> </w:t>
      </w:r>
      <w:r>
        <w:rPr>
          <w:color w:val="231F20"/>
        </w:rPr>
        <w:t>which the</w:t>
      </w:r>
      <w:r>
        <w:rPr>
          <w:color w:val="231F20"/>
          <w:spacing w:val="-9"/>
        </w:rPr>
        <w:t> </w:t>
      </w:r>
      <w:r>
        <w:rPr>
          <w:color w:val="231F20"/>
        </w:rPr>
        <w:t>ancients</w:t>
      </w:r>
      <w:r>
        <w:rPr>
          <w:color w:val="231F20"/>
          <w:spacing w:val="-9"/>
        </w:rPr>
        <w:t> </w:t>
      </w:r>
      <w:r>
        <w:rPr>
          <w:color w:val="231F20"/>
        </w:rPr>
        <w:t>valued</w:t>
      </w:r>
      <w:r>
        <w:rPr>
          <w:color w:val="231F20"/>
          <w:spacing w:val="-8"/>
        </w:rPr>
        <w:t> </w:t>
      </w:r>
      <w:r>
        <w:rPr>
          <w:color w:val="231F20"/>
        </w:rPr>
        <w:t>so</w:t>
      </w:r>
      <w:r>
        <w:rPr>
          <w:color w:val="231F20"/>
          <w:spacing w:val="-9"/>
        </w:rPr>
        <w:t> </w:t>
      </w:r>
      <w:r>
        <w:rPr>
          <w:color w:val="231F20"/>
        </w:rPr>
        <w:t>highly,</w:t>
      </w:r>
      <w:r>
        <w:rPr>
          <w:color w:val="231F20"/>
          <w:spacing w:val="-8"/>
        </w:rPr>
        <w:t> </w:t>
      </w:r>
      <w:r>
        <w:rPr>
          <w:color w:val="231F20"/>
        </w:rPr>
        <w:t>called</w:t>
      </w:r>
      <w:r>
        <w:rPr>
          <w:color w:val="231F20"/>
          <w:spacing w:val="-9"/>
        </w:rPr>
        <w:t> </w:t>
      </w:r>
      <w:r>
        <w:rPr>
          <w:i/>
          <w:color w:val="231F20"/>
        </w:rPr>
        <w:t>philia</w:t>
      </w:r>
      <w:r>
        <w:rPr>
          <w:i/>
          <w:color w:val="231F20"/>
          <w:spacing w:val="-8"/>
        </w:rPr>
        <w:t> </w:t>
      </w:r>
      <w:r>
        <w:rPr>
          <w:color w:val="231F20"/>
        </w:rPr>
        <w:t>by</w:t>
      </w:r>
      <w:r>
        <w:rPr>
          <w:color w:val="231F20"/>
          <w:spacing w:val="-9"/>
        </w:rPr>
        <w:t> </w:t>
      </w:r>
      <w:r>
        <w:rPr>
          <w:color w:val="231F20"/>
        </w:rPr>
        <w:t>the</w:t>
      </w:r>
      <w:r>
        <w:rPr>
          <w:color w:val="231F20"/>
          <w:spacing w:val="-8"/>
        </w:rPr>
        <w:t> </w:t>
      </w:r>
      <w:r>
        <w:rPr>
          <w:color w:val="231F20"/>
        </w:rPr>
        <w:t>ancient</w:t>
      </w:r>
      <w:r>
        <w:rPr>
          <w:color w:val="231F20"/>
          <w:spacing w:val="-9"/>
        </w:rPr>
        <w:t> </w:t>
      </w:r>
      <w:r>
        <w:rPr>
          <w:color w:val="231F20"/>
        </w:rPr>
        <w:t>Greeks</w:t>
      </w:r>
      <w:r>
        <w:rPr>
          <w:color w:val="231F20"/>
          <w:spacing w:val="-8"/>
        </w:rPr>
        <w:t> </w:t>
      </w:r>
      <w:r>
        <w:rPr>
          <w:color w:val="231F20"/>
        </w:rPr>
        <w:t>or</w:t>
      </w:r>
      <w:r>
        <w:rPr>
          <w:color w:val="231F20"/>
          <w:spacing w:val="-9"/>
        </w:rPr>
        <w:t> </w:t>
      </w:r>
      <w:r>
        <w:rPr>
          <w:i/>
          <w:color w:val="231F20"/>
        </w:rPr>
        <w:t>amicitia</w:t>
      </w:r>
      <w:r>
        <w:rPr>
          <w:i/>
          <w:color w:val="231F20"/>
          <w:spacing w:val="-9"/>
        </w:rPr>
        <w:t> </w:t>
      </w:r>
      <w:r>
        <w:rPr>
          <w:color w:val="231F20"/>
        </w:rPr>
        <w:t>by</w:t>
      </w:r>
      <w:r>
        <w:rPr>
          <w:color w:val="231F20"/>
          <w:spacing w:val="-8"/>
        </w:rPr>
        <w:t> </w:t>
      </w:r>
      <w:r>
        <w:rPr>
          <w:color w:val="231F20"/>
          <w:spacing w:val="-5"/>
        </w:rPr>
        <w:t>the </w:t>
      </w:r>
      <w:r>
        <w:rPr>
          <w:color w:val="231F20"/>
        </w:rPr>
        <w:t>Romans,</w:t>
      </w:r>
      <w:r>
        <w:rPr>
          <w:color w:val="231F20"/>
          <w:spacing w:val="-8"/>
        </w:rPr>
        <w:t> </w:t>
      </w:r>
      <w:r>
        <w:rPr>
          <w:color w:val="231F20"/>
        </w:rPr>
        <w:t>which</w:t>
      </w:r>
      <w:r>
        <w:rPr>
          <w:color w:val="231F20"/>
          <w:spacing w:val="-8"/>
        </w:rPr>
        <w:t> </w:t>
      </w:r>
      <w:r>
        <w:rPr>
          <w:color w:val="231F20"/>
        </w:rPr>
        <w:t>is</w:t>
      </w:r>
      <w:r>
        <w:rPr>
          <w:color w:val="231F20"/>
          <w:spacing w:val="-8"/>
        </w:rPr>
        <w:t> </w:t>
      </w:r>
      <w:r>
        <w:rPr>
          <w:color w:val="231F20"/>
        </w:rPr>
        <w:t>translated</w:t>
      </w:r>
      <w:r>
        <w:rPr>
          <w:color w:val="231F20"/>
          <w:spacing w:val="-8"/>
        </w:rPr>
        <w:t> </w:t>
      </w:r>
      <w:r>
        <w:rPr>
          <w:color w:val="231F20"/>
        </w:rPr>
        <w:t>as</w:t>
      </w:r>
      <w:r>
        <w:rPr>
          <w:color w:val="231F20"/>
          <w:spacing w:val="-8"/>
        </w:rPr>
        <w:t> </w:t>
      </w:r>
      <w:r>
        <w:rPr>
          <w:color w:val="231F20"/>
        </w:rPr>
        <w:t>'friendship'</w:t>
      </w:r>
      <w:r>
        <w:rPr>
          <w:color w:val="231F20"/>
          <w:spacing w:val="-8"/>
        </w:rPr>
        <w:t> </w:t>
      </w:r>
      <w:r>
        <w:rPr>
          <w:color w:val="231F20"/>
        </w:rPr>
        <w:t>in</w:t>
      </w:r>
      <w:r>
        <w:rPr>
          <w:color w:val="231F20"/>
          <w:spacing w:val="-8"/>
        </w:rPr>
        <w:t> </w:t>
      </w:r>
      <w:r>
        <w:rPr>
          <w:color w:val="231F20"/>
        </w:rPr>
        <w:t>English.</w:t>
      </w:r>
      <w:r>
        <w:rPr>
          <w:color w:val="231F20"/>
          <w:spacing w:val="-8"/>
        </w:rPr>
        <w:t> </w:t>
      </w:r>
      <w:r>
        <w:rPr>
          <w:color w:val="231F20"/>
        </w:rPr>
        <w:t>But</w:t>
      </w:r>
      <w:r>
        <w:rPr>
          <w:color w:val="231F20"/>
          <w:spacing w:val="-8"/>
        </w:rPr>
        <w:t> </w:t>
      </w:r>
      <w:r>
        <w:rPr>
          <w:color w:val="231F20"/>
        </w:rPr>
        <w:t>our</w:t>
      </w:r>
      <w:r>
        <w:rPr>
          <w:color w:val="231F20"/>
          <w:spacing w:val="-8"/>
        </w:rPr>
        <w:t> </w:t>
      </w:r>
      <w:r>
        <w:rPr>
          <w:color w:val="231F20"/>
        </w:rPr>
        <w:t>word</w:t>
      </w:r>
      <w:r>
        <w:rPr>
          <w:color w:val="231F20"/>
          <w:spacing w:val="-8"/>
        </w:rPr>
        <w:t> </w:t>
      </w:r>
      <w:r>
        <w:rPr>
          <w:color w:val="231F20"/>
        </w:rPr>
        <w:t>friendship</w:t>
      </w:r>
      <w:r>
        <w:rPr>
          <w:color w:val="231F20"/>
          <w:spacing w:val="-8"/>
        </w:rPr>
        <w:t> </w:t>
      </w:r>
      <w:r>
        <w:rPr>
          <w:color w:val="231F20"/>
        </w:rPr>
        <w:t>is too banal and overused in everyday language to properly convey the real </w:t>
      </w:r>
      <w:r>
        <w:rPr>
          <w:color w:val="231F20"/>
          <w:spacing w:val="-3"/>
        </w:rPr>
        <w:t>sense </w:t>
      </w:r>
      <w:r>
        <w:rPr>
          <w:color w:val="231F20"/>
        </w:rPr>
        <w:t>of </w:t>
      </w:r>
      <w:r>
        <w:rPr>
          <w:i/>
          <w:color w:val="231F20"/>
        </w:rPr>
        <w:t>philia</w:t>
      </w:r>
      <w:r>
        <w:rPr>
          <w:color w:val="231F20"/>
        </w:rPr>
        <w:t>.</w:t>
      </w:r>
    </w:p>
    <w:p>
      <w:pPr>
        <w:pStyle w:val="BodyText"/>
        <w:spacing w:before="11"/>
        <w:rPr>
          <w:rFonts w:ascii="Palatino Linotype"/>
          <w:sz w:val="25"/>
        </w:rPr>
      </w:pPr>
    </w:p>
    <w:p>
      <w:pPr>
        <w:pStyle w:val="Heading5"/>
        <w:spacing w:line="216" w:lineRule="auto" w:before="1"/>
        <w:ind w:left="803" w:right="755" w:hanging="1"/>
      </w:pPr>
      <w:r>
        <w:rPr>
          <w:color w:val="231F20"/>
        </w:rPr>
        <w:t>CS Lewis wrote an excellent book on love (</w:t>
      </w:r>
      <w:r>
        <w:rPr>
          <w:i/>
          <w:color w:val="231F20"/>
        </w:rPr>
        <w:t>The Four Loves</w:t>
      </w:r>
      <w:r>
        <w:rPr>
          <w:color w:val="231F20"/>
        </w:rPr>
        <w:t>) in which he coins the expression that we have used as this chapter heading - Appreciative Love:</w:t>
      </w:r>
    </w:p>
    <w:p>
      <w:pPr>
        <w:pStyle w:val="Heading6"/>
        <w:spacing w:line="216" w:lineRule="auto" w:before="227"/>
        <w:ind w:left="1282" w:right="741" w:firstLine="157"/>
      </w:pPr>
      <w:r>
        <w:rPr>
          <w:i/>
          <w:color w:val="231F20"/>
        </w:rPr>
        <w:t>[Appreciative love] is not a reward for our discriminating and good taste</w:t>
      </w:r>
      <w:r>
        <w:rPr>
          <w:i/>
          <w:color w:val="231F20"/>
          <w:spacing w:val="-29"/>
        </w:rPr>
        <w:t> </w:t>
      </w:r>
      <w:r>
        <w:rPr>
          <w:i/>
          <w:color w:val="231F20"/>
        </w:rPr>
        <w:t>in</w:t>
      </w:r>
      <w:r>
        <w:rPr>
          <w:i/>
          <w:color w:val="231F20"/>
          <w:spacing w:val="-2"/>
        </w:rPr>
        <w:t> </w:t>
      </w:r>
      <w:r>
        <w:rPr>
          <w:i/>
          <w:color w:val="231F20"/>
        </w:rPr>
        <w:t>ﬁnding</w:t>
      </w:r>
      <w:r>
        <w:rPr>
          <w:color w:val="231F20"/>
        </w:rPr>
        <w:t> one another out. It is the instrument by which God reveals to each of us</w:t>
      </w:r>
      <w:r>
        <w:rPr>
          <w:color w:val="231F20"/>
          <w:spacing w:val="-16"/>
        </w:rPr>
        <w:t> </w:t>
      </w:r>
      <w:r>
        <w:rPr>
          <w:color w:val="231F20"/>
        </w:rPr>
        <w:t>the beauties of others. This love, free from instinct, free from all duties but those which</w:t>
      </w:r>
      <w:r>
        <w:rPr>
          <w:color w:val="231F20"/>
          <w:spacing w:val="-18"/>
        </w:rPr>
        <w:t> </w:t>
      </w:r>
      <w:r>
        <w:rPr>
          <w:color w:val="231F20"/>
        </w:rPr>
        <w:t>love</w:t>
      </w:r>
      <w:r>
        <w:rPr>
          <w:color w:val="231F20"/>
          <w:spacing w:val="-1"/>
        </w:rPr>
        <w:t> </w:t>
      </w:r>
      <w:r>
        <w:rPr>
          <w:color w:val="231F20"/>
        </w:rPr>
        <w:t>has freely assumed, almost wholly free from jealousy, and free without</w:t>
      </w:r>
      <w:r>
        <w:rPr>
          <w:color w:val="231F20"/>
          <w:spacing w:val="-11"/>
        </w:rPr>
        <w:t> </w:t>
      </w:r>
      <w:r>
        <w:rPr>
          <w:color w:val="231F20"/>
        </w:rPr>
        <w:t>qualiﬁcation</w:t>
      </w:r>
      <w:r>
        <w:rPr>
          <w:color w:val="231F20"/>
          <w:spacing w:val="-1"/>
        </w:rPr>
        <w:t> </w:t>
      </w:r>
      <w:r>
        <w:rPr>
          <w:color w:val="231F20"/>
        </w:rPr>
        <w:t>from the need to be needed, is eminently spiritual. It is the sort of love one</w:t>
      </w:r>
      <w:r>
        <w:rPr>
          <w:color w:val="231F20"/>
          <w:spacing w:val="-15"/>
        </w:rPr>
        <w:t> </w:t>
      </w:r>
      <w:r>
        <w:rPr>
          <w:color w:val="231F20"/>
        </w:rPr>
        <w:t>can imagine between angels. Have </w:t>
      </w:r>
      <w:r>
        <w:rPr>
          <w:color w:val="231F20"/>
          <w:spacing w:val="-3"/>
        </w:rPr>
        <w:t>we </w:t>
      </w:r>
      <w:r>
        <w:rPr>
          <w:color w:val="231F20"/>
        </w:rPr>
        <w:t>found a natural love which is love</w:t>
      </w:r>
      <w:r>
        <w:rPr>
          <w:color w:val="231F20"/>
          <w:spacing w:val="-13"/>
        </w:rPr>
        <w:t> </w:t>
      </w:r>
      <w:r>
        <w:rPr>
          <w:color w:val="231F20"/>
        </w:rPr>
        <w:t>itself?</w:t>
      </w:r>
    </w:p>
    <w:p>
      <w:pPr>
        <w:pStyle w:val="Heading5"/>
        <w:spacing w:line="357" w:lineRule="exact"/>
        <w:ind w:right="741"/>
        <w:jc w:val="right"/>
      </w:pPr>
      <w:r>
        <w:rPr>
          <w:color w:val="231F20"/>
        </w:rPr>
        <w:t>CS Lewis, ‘The Four</w:t>
      </w:r>
      <w:r>
        <w:rPr>
          <w:color w:val="231F20"/>
          <w:spacing w:val="-5"/>
        </w:rPr>
        <w:t> </w:t>
      </w:r>
      <w:r>
        <w:rPr>
          <w:color w:val="231F20"/>
        </w:rPr>
        <w:t>Loves’</w:t>
      </w:r>
    </w:p>
    <w:p>
      <w:pPr>
        <w:spacing w:after="0" w:line="357" w:lineRule="exact"/>
        <w:jc w:val="right"/>
        <w:sectPr>
          <w:headerReference w:type="default" r:id="rId149"/>
          <w:footerReference w:type="default" r:id="rId150"/>
          <w:pgSz w:w="11910" w:h="16840"/>
          <w:pgMar w:header="0" w:footer="1165" w:top="940" w:bottom="1360" w:left="160" w:right="220"/>
          <w:pgNumType w:start="15"/>
        </w:sectPr>
      </w:pPr>
    </w:p>
    <w:p>
      <w:pPr>
        <w:pStyle w:val="Heading5"/>
        <w:spacing w:line="216" w:lineRule="auto" w:before="114"/>
        <w:ind w:left="784" w:right="774"/>
      </w:pPr>
      <w:r>
        <w:rPr>
          <w:color w:val="231F20"/>
        </w:rPr>
        <w:t>To love someone in this </w:t>
      </w:r>
      <w:r>
        <w:rPr>
          <w:color w:val="231F20"/>
          <w:spacing w:val="-3"/>
        </w:rPr>
        <w:t>way </w:t>
      </w:r>
      <w:r>
        <w:rPr>
          <w:color w:val="231F20"/>
        </w:rPr>
        <w:t>is not to desire them for ourselves, but to desire for them</w:t>
      </w:r>
      <w:r>
        <w:rPr>
          <w:color w:val="231F20"/>
          <w:spacing w:val="-5"/>
        </w:rPr>
        <w:t> </w:t>
      </w:r>
      <w:r>
        <w:rPr>
          <w:color w:val="231F20"/>
        </w:rPr>
        <w:t>what</w:t>
      </w:r>
      <w:r>
        <w:rPr>
          <w:color w:val="231F20"/>
          <w:spacing w:val="-5"/>
        </w:rPr>
        <w:t> </w:t>
      </w:r>
      <w:r>
        <w:rPr>
          <w:color w:val="231F20"/>
          <w:spacing w:val="-3"/>
        </w:rPr>
        <w:t>we</w:t>
      </w:r>
      <w:r>
        <w:rPr>
          <w:color w:val="231F20"/>
          <w:spacing w:val="-4"/>
        </w:rPr>
        <w:t> </w:t>
      </w:r>
      <w:r>
        <w:rPr>
          <w:color w:val="231F20"/>
        </w:rPr>
        <w:t>would</w:t>
      </w:r>
      <w:r>
        <w:rPr>
          <w:color w:val="231F20"/>
          <w:spacing w:val="-5"/>
        </w:rPr>
        <w:t> </w:t>
      </w:r>
      <w:r>
        <w:rPr>
          <w:color w:val="231F20"/>
        </w:rPr>
        <w:t>desire</w:t>
      </w:r>
      <w:r>
        <w:rPr>
          <w:color w:val="231F20"/>
          <w:spacing w:val="-5"/>
        </w:rPr>
        <w:t> </w:t>
      </w:r>
      <w:r>
        <w:rPr>
          <w:color w:val="231F20"/>
        </w:rPr>
        <w:t>for</w:t>
      </w:r>
      <w:r>
        <w:rPr>
          <w:color w:val="231F20"/>
          <w:spacing w:val="-4"/>
        </w:rPr>
        <w:t> </w:t>
      </w:r>
      <w:r>
        <w:rPr>
          <w:color w:val="231F20"/>
        </w:rPr>
        <w:t>ourselves.</w:t>
      </w:r>
      <w:r>
        <w:rPr>
          <w:color w:val="231F20"/>
          <w:spacing w:val="-5"/>
        </w:rPr>
        <w:t> </w:t>
      </w:r>
      <w:r>
        <w:rPr>
          <w:color w:val="231F20"/>
        </w:rPr>
        <w:t>This</w:t>
      </w:r>
      <w:r>
        <w:rPr>
          <w:color w:val="231F20"/>
          <w:spacing w:val="-5"/>
        </w:rPr>
        <w:t> </w:t>
      </w:r>
      <w:r>
        <w:rPr>
          <w:color w:val="231F20"/>
        </w:rPr>
        <w:t>is</w:t>
      </w:r>
      <w:r>
        <w:rPr>
          <w:color w:val="231F20"/>
          <w:spacing w:val="-4"/>
        </w:rPr>
        <w:t> </w:t>
      </w:r>
      <w:r>
        <w:rPr>
          <w:color w:val="231F20"/>
        </w:rPr>
        <w:t>the</w:t>
      </w:r>
      <w:r>
        <w:rPr>
          <w:color w:val="231F20"/>
          <w:spacing w:val="-5"/>
        </w:rPr>
        <w:t> </w:t>
      </w:r>
      <w:r>
        <w:rPr>
          <w:color w:val="231F20"/>
        </w:rPr>
        <w:t>quality</w:t>
      </w:r>
      <w:r>
        <w:rPr>
          <w:color w:val="231F20"/>
          <w:spacing w:val="-4"/>
        </w:rPr>
        <w:t> </w:t>
      </w:r>
      <w:r>
        <w:rPr>
          <w:color w:val="231F20"/>
        </w:rPr>
        <w:t>of</w:t>
      </w:r>
      <w:r>
        <w:rPr>
          <w:color w:val="231F20"/>
          <w:spacing w:val="-5"/>
        </w:rPr>
        <w:t> </w:t>
      </w:r>
      <w:r>
        <w:rPr>
          <w:color w:val="231F20"/>
        </w:rPr>
        <w:t>love</w:t>
      </w:r>
      <w:r>
        <w:rPr>
          <w:color w:val="231F20"/>
          <w:spacing w:val="-5"/>
        </w:rPr>
        <w:t> </w:t>
      </w:r>
      <w:r>
        <w:rPr>
          <w:color w:val="231F20"/>
        </w:rPr>
        <w:t>enshrined</w:t>
      </w:r>
      <w:r>
        <w:rPr>
          <w:color w:val="231F20"/>
          <w:spacing w:val="-4"/>
        </w:rPr>
        <w:t> </w:t>
      </w:r>
      <w:r>
        <w:rPr>
          <w:color w:val="231F20"/>
        </w:rPr>
        <w:t>in the</w:t>
      </w:r>
      <w:r>
        <w:rPr>
          <w:color w:val="231F20"/>
          <w:spacing w:val="-13"/>
        </w:rPr>
        <w:t> </w:t>
      </w:r>
      <w:r>
        <w:rPr>
          <w:color w:val="231F20"/>
          <w:spacing w:val="-3"/>
        </w:rPr>
        <w:t>solemn</w:t>
      </w:r>
      <w:r>
        <w:rPr>
          <w:color w:val="231F20"/>
          <w:spacing w:val="-12"/>
        </w:rPr>
        <w:t> </w:t>
      </w:r>
      <w:r>
        <w:rPr>
          <w:color w:val="231F20"/>
          <w:spacing w:val="-3"/>
        </w:rPr>
        <w:t>promises</w:t>
      </w:r>
      <w:r>
        <w:rPr>
          <w:color w:val="231F20"/>
          <w:spacing w:val="-13"/>
        </w:rPr>
        <w:t> </w:t>
      </w:r>
      <w:r>
        <w:rPr>
          <w:color w:val="231F20"/>
          <w:spacing w:val="-3"/>
        </w:rPr>
        <w:t>that</w:t>
      </w:r>
      <w:r>
        <w:rPr>
          <w:color w:val="231F20"/>
          <w:spacing w:val="-12"/>
        </w:rPr>
        <w:t> </w:t>
      </w:r>
      <w:r>
        <w:rPr>
          <w:color w:val="231F20"/>
          <w:spacing w:val="-3"/>
        </w:rPr>
        <w:t>couples</w:t>
      </w:r>
      <w:r>
        <w:rPr>
          <w:color w:val="231F20"/>
          <w:spacing w:val="-13"/>
        </w:rPr>
        <w:t> </w:t>
      </w:r>
      <w:r>
        <w:rPr>
          <w:color w:val="231F20"/>
          <w:spacing w:val="-3"/>
        </w:rPr>
        <w:t>make</w:t>
      </w:r>
      <w:r>
        <w:rPr>
          <w:color w:val="231F20"/>
          <w:spacing w:val="-12"/>
        </w:rPr>
        <w:t> </w:t>
      </w:r>
      <w:r>
        <w:rPr>
          <w:color w:val="231F20"/>
        </w:rPr>
        <w:t>to</w:t>
      </w:r>
      <w:r>
        <w:rPr>
          <w:color w:val="231F20"/>
          <w:spacing w:val="-13"/>
        </w:rPr>
        <w:t> </w:t>
      </w:r>
      <w:r>
        <w:rPr>
          <w:color w:val="231F20"/>
          <w:spacing w:val="-3"/>
        </w:rPr>
        <w:t>each</w:t>
      </w:r>
      <w:r>
        <w:rPr>
          <w:color w:val="231F20"/>
          <w:spacing w:val="-12"/>
        </w:rPr>
        <w:t> </w:t>
      </w:r>
      <w:r>
        <w:rPr>
          <w:color w:val="231F20"/>
          <w:spacing w:val="-3"/>
        </w:rPr>
        <w:t>other</w:t>
      </w:r>
      <w:r>
        <w:rPr>
          <w:color w:val="231F20"/>
          <w:spacing w:val="-13"/>
        </w:rPr>
        <w:t> </w:t>
      </w:r>
      <w:r>
        <w:rPr>
          <w:color w:val="231F20"/>
        </w:rPr>
        <w:t>in</w:t>
      </w:r>
      <w:r>
        <w:rPr>
          <w:color w:val="231F20"/>
          <w:spacing w:val="-12"/>
        </w:rPr>
        <w:t> </w:t>
      </w:r>
      <w:r>
        <w:rPr>
          <w:color w:val="231F20"/>
          <w:spacing w:val="-3"/>
        </w:rPr>
        <w:t>marriage</w:t>
      </w:r>
      <w:r>
        <w:rPr>
          <w:color w:val="231F20"/>
          <w:spacing w:val="-13"/>
        </w:rPr>
        <w:t> </w:t>
      </w:r>
      <w:r>
        <w:rPr>
          <w:color w:val="231F20"/>
          <w:spacing w:val="-3"/>
        </w:rPr>
        <w:t>when</w:t>
      </w:r>
      <w:r>
        <w:rPr>
          <w:color w:val="231F20"/>
          <w:spacing w:val="-12"/>
        </w:rPr>
        <w:t> </w:t>
      </w:r>
      <w:r>
        <w:rPr>
          <w:color w:val="231F20"/>
          <w:spacing w:val="-3"/>
        </w:rPr>
        <w:t>they</w:t>
      </w:r>
      <w:r>
        <w:rPr>
          <w:color w:val="231F20"/>
          <w:spacing w:val="-13"/>
        </w:rPr>
        <w:t> </w:t>
      </w:r>
      <w:r>
        <w:rPr>
          <w:color w:val="231F20"/>
          <w:spacing w:val="-3"/>
        </w:rPr>
        <w:t>prom- </w:t>
      </w:r>
      <w:r>
        <w:rPr>
          <w:color w:val="231F20"/>
        </w:rPr>
        <w:t>ise to love and to honour each other for the rest of their</w:t>
      </w:r>
      <w:r>
        <w:rPr>
          <w:color w:val="231F20"/>
          <w:spacing w:val="-3"/>
        </w:rPr>
        <w:t> </w:t>
      </w:r>
      <w:r>
        <w:rPr>
          <w:color w:val="231F20"/>
        </w:rPr>
        <w:t>lives.</w:t>
      </w:r>
    </w:p>
    <w:p>
      <w:pPr>
        <w:pStyle w:val="Heading5"/>
        <w:spacing w:line="216" w:lineRule="auto" w:before="117"/>
        <w:ind w:left="6776" w:right="774"/>
      </w:pPr>
      <w:r>
        <w:rPr/>
        <w:drawing>
          <wp:anchor distT="0" distB="0" distL="0" distR="0" allowOverlap="1" layoutInCell="1" locked="0" behindDoc="0" simplePos="0" relativeHeight="251684864">
            <wp:simplePos x="0" y="0"/>
            <wp:positionH relativeFrom="page">
              <wp:posOffset>609041</wp:posOffset>
            </wp:positionH>
            <wp:positionV relativeFrom="paragraph">
              <wp:posOffset>93173</wp:posOffset>
            </wp:positionV>
            <wp:extent cx="3639426" cy="3132010"/>
            <wp:effectExtent l="0" t="0" r="0" b="0"/>
            <wp:wrapNone/>
            <wp:docPr id="41" name="image18.jpeg"/>
            <wp:cNvGraphicFramePr>
              <a:graphicFrameLocks noChangeAspect="1"/>
            </wp:cNvGraphicFramePr>
            <a:graphic>
              <a:graphicData uri="http://schemas.openxmlformats.org/drawingml/2006/picture">
                <pic:pic>
                  <pic:nvPicPr>
                    <pic:cNvPr id="42" name="image18.jpeg"/>
                    <pic:cNvPicPr/>
                  </pic:nvPicPr>
                  <pic:blipFill>
                    <a:blip r:embed="rId153" cstate="print"/>
                    <a:stretch>
                      <a:fillRect/>
                    </a:stretch>
                  </pic:blipFill>
                  <pic:spPr>
                    <a:xfrm>
                      <a:off x="0" y="0"/>
                      <a:ext cx="3639426" cy="3132010"/>
                    </a:xfrm>
                    <a:prstGeom prst="rect">
                      <a:avLst/>
                    </a:prstGeom>
                  </pic:spPr>
                </pic:pic>
              </a:graphicData>
            </a:graphic>
          </wp:anchor>
        </w:drawing>
      </w:r>
      <w:r>
        <w:rPr>
          <w:color w:val="231F20"/>
        </w:rPr>
        <w:t>We 'honour' or admire people for qualities of character which we have grown to recognise in them.</w:t>
      </w:r>
    </w:p>
    <w:p>
      <w:pPr>
        <w:pStyle w:val="Heading5"/>
        <w:spacing w:line="342" w:lineRule="exact" w:before="338"/>
        <w:ind w:left="6776" w:right="774"/>
      </w:pPr>
      <w:r>
        <w:rPr>
          <w:color w:val="231F20"/>
        </w:rPr>
        <w:t>Appreciative love is the sort of love which grows in a good marriage when physical desire begins to fade with age. In that sense it is a love that 'never ends'. It is the sort of love that ought to be prevalent between members of the family - </w:t>
      </w:r>
      <w:r>
        <w:rPr>
          <w:color w:val="231F20"/>
          <w:spacing w:val="-3"/>
        </w:rPr>
        <w:t>parents </w:t>
      </w:r>
      <w:r>
        <w:rPr>
          <w:color w:val="231F20"/>
        </w:rPr>
        <w:t>to children as well as children</w:t>
      </w:r>
      <w:r>
        <w:rPr>
          <w:color w:val="231F20"/>
          <w:spacing w:val="-47"/>
        </w:rPr>
        <w:t> </w:t>
      </w:r>
      <w:r>
        <w:rPr>
          <w:color w:val="231F20"/>
          <w:spacing w:val="-6"/>
        </w:rPr>
        <w:t>to </w:t>
      </w:r>
      <w:r>
        <w:rPr>
          <w:color w:val="231F20"/>
        </w:rPr>
        <w:t>parents:</w:t>
      </w:r>
    </w:p>
    <w:p>
      <w:pPr>
        <w:spacing w:line="249" w:lineRule="exact" w:before="0"/>
        <w:ind w:left="809" w:right="0" w:firstLine="0"/>
        <w:jc w:val="both"/>
        <w:rPr>
          <w:rFonts w:ascii="Palatino Linotype"/>
          <w:b/>
          <w:sz w:val="24"/>
        </w:rPr>
      </w:pPr>
      <w:r>
        <w:rPr>
          <w:rFonts w:ascii="Palatino Linotype"/>
          <w:b/>
          <w:color w:val="231F20"/>
          <w:sz w:val="24"/>
        </w:rPr>
        <w:t>Two Friends, Daniel Ridgeway (</w:t>
      </w:r>
      <w:r>
        <w:rPr>
          <w:rFonts w:ascii="Palatino Linotype"/>
          <w:b/>
          <w:i/>
          <w:color w:val="231F20"/>
          <w:sz w:val="24"/>
        </w:rPr>
        <w:t>private collection</w:t>
      </w:r>
      <w:r>
        <w:rPr>
          <w:rFonts w:ascii="Palatino Linotype"/>
          <w:b/>
          <w:color w:val="231F20"/>
          <w:sz w:val="24"/>
        </w:rPr>
        <w:t>)</w:t>
      </w:r>
    </w:p>
    <w:p>
      <w:pPr>
        <w:pStyle w:val="Heading6"/>
        <w:spacing w:line="216" w:lineRule="auto" w:before="217"/>
        <w:ind w:left="1285" w:right="762" w:firstLine="536"/>
      </w:pPr>
      <w:r>
        <w:rPr>
          <w:i/>
          <w:color w:val="231F20"/>
        </w:rPr>
        <w:t>Tenderness, on the other hand, is a sign of a love free of selﬁsh</w:t>
      </w:r>
      <w:r>
        <w:rPr>
          <w:i/>
          <w:color w:val="231F20"/>
          <w:spacing w:val="-27"/>
        </w:rPr>
        <w:t> </w:t>
      </w:r>
      <w:r>
        <w:rPr>
          <w:i/>
          <w:color w:val="231F20"/>
        </w:rPr>
        <w:t>possessiveness.</w:t>
      </w:r>
      <w:r>
        <w:rPr>
          <w:i/>
          <w:color w:val="231F20"/>
          <w:spacing w:val="-2"/>
        </w:rPr>
        <w:t> </w:t>
      </w:r>
      <w:r>
        <w:rPr>
          <w:i/>
          <w:color w:val="231F20"/>
          <w:spacing w:val="-9"/>
        </w:rPr>
        <w:t>It</w:t>
      </w:r>
      <w:r>
        <w:rPr>
          <w:color w:val="231F20"/>
        </w:rPr>
        <w:t> makes us approach a person with immense respect and a certain dread of causing them harm or taking away their freedom. Loving another person involves the</w:t>
      </w:r>
      <w:r>
        <w:rPr>
          <w:color w:val="231F20"/>
          <w:spacing w:val="-12"/>
        </w:rPr>
        <w:t> </w:t>
      </w:r>
      <w:r>
        <w:rPr>
          <w:color w:val="231F20"/>
        </w:rPr>
        <w:t>joy</w:t>
      </w:r>
      <w:r>
        <w:rPr>
          <w:color w:val="231F20"/>
          <w:spacing w:val="-1"/>
        </w:rPr>
        <w:t> </w:t>
      </w:r>
      <w:r>
        <w:rPr>
          <w:color w:val="231F20"/>
        </w:rPr>
        <w:t>of contemplating and appreciating their innate beauty and sacredness, which is</w:t>
      </w:r>
      <w:r>
        <w:rPr>
          <w:color w:val="231F20"/>
          <w:spacing w:val="3"/>
        </w:rPr>
        <w:t> </w:t>
      </w:r>
      <w:r>
        <w:rPr>
          <w:color w:val="231F20"/>
          <w:spacing w:val="-3"/>
        </w:rPr>
        <w:t>greater</w:t>
      </w:r>
    </w:p>
    <w:p>
      <w:pPr>
        <w:pStyle w:val="Heading6"/>
        <w:spacing w:line="216" w:lineRule="auto" w:before="5"/>
        <w:ind w:left="1238" w:right="762" w:firstLine="7819"/>
      </w:pPr>
      <w:r>
        <w:rPr>
          <w:i/>
          <w:color w:val="231F20"/>
        </w:rPr>
        <w:t>than my </w:t>
      </w:r>
      <w:r>
        <w:rPr>
          <w:i/>
          <w:color w:val="231F20"/>
          <w:spacing w:val="-3"/>
        </w:rPr>
        <w:t>needs.</w:t>
      </w:r>
      <w:r>
        <w:rPr>
          <w:color w:val="231F20"/>
        </w:rPr>
        <w:t> This enables me to seek their good even when they cannot belong to me, or</w:t>
      </w:r>
      <w:r>
        <w:rPr>
          <w:color w:val="231F20"/>
          <w:spacing w:val="-3"/>
        </w:rPr>
        <w:t> </w:t>
      </w:r>
      <w:r>
        <w:rPr>
          <w:color w:val="231F20"/>
        </w:rPr>
        <w:t>when </w:t>
      </w:r>
      <w:r>
        <w:rPr>
          <w:color w:val="231F20"/>
          <w:spacing w:val="-5"/>
        </w:rPr>
        <w:t>they</w:t>
      </w:r>
      <w:r>
        <w:rPr>
          <w:color w:val="231F20"/>
        </w:rPr>
        <w:t> are no longer physically appealing but intrusive and annoying. For “the</w:t>
      </w:r>
      <w:r>
        <w:rPr>
          <w:color w:val="231F20"/>
          <w:spacing w:val="-10"/>
        </w:rPr>
        <w:t> </w:t>
      </w:r>
      <w:r>
        <w:rPr>
          <w:color w:val="231F20"/>
        </w:rPr>
        <w:t>love by which one person is pleasing to another depends on his or her giving something</w:t>
      </w:r>
    </w:p>
    <w:p>
      <w:pPr>
        <w:pStyle w:val="Heading6"/>
        <w:spacing w:line="336" w:lineRule="exact"/>
        <w:ind w:right="763"/>
        <w:rPr>
          <w:i/>
        </w:rPr>
      </w:pPr>
      <w:r>
        <w:rPr>
          <w:i/>
          <w:color w:val="231F20"/>
        </w:rPr>
        <w:t>freely”</w:t>
      </w:r>
    </w:p>
    <w:p>
      <w:pPr>
        <w:pStyle w:val="Heading5"/>
        <w:spacing w:line="360" w:lineRule="exact"/>
        <w:ind w:right="761"/>
        <w:jc w:val="right"/>
      </w:pPr>
      <w:r>
        <w:rPr>
          <w:color w:val="231F20"/>
        </w:rPr>
        <w:t>AL 127</w:t>
      </w:r>
    </w:p>
    <w:p>
      <w:pPr>
        <w:pStyle w:val="Heading5"/>
        <w:spacing w:line="216" w:lineRule="auto" w:before="42"/>
        <w:ind w:left="814" w:right="744"/>
      </w:pPr>
      <w:r>
        <w:rPr>
          <w:color w:val="231F20"/>
        </w:rPr>
        <w:t>For those in a state of appreciative love, what St. Paul says to the Corinthians at the start of the chapter or in this passage from his letter to the Romans below would come naturally:</w:t>
      </w:r>
    </w:p>
    <w:p>
      <w:pPr>
        <w:pStyle w:val="Heading6"/>
        <w:spacing w:line="216" w:lineRule="auto" w:before="83"/>
        <w:ind w:left="1593" w:right="745" w:firstLine="221"/>
      </w:pPr>
      <w:r>
        <w:rPr>
          <w:i/>
          <w:color w:val="231F20"/>
        </w:rPr>
        <w:t>Let love be genuine; hate what is evil, hold fast to what is good; love</w:t>
      </w:r>
      <w:r>
        <w:rPr>
          <w:i/>
          <w:color w:val="231F20"/>
          <w:spacing w:val="-20"/>
        </w:rPr>
        <w:t> </w:t>
      </w:r>
      <w:r>
        <w:rPr>
          <w:i/>
          <w:color w:val="231F20"/>
        </w:rPr>
        <w:t>one</w:t>
      </w:r>
      <w:r>
        <w:rPr>
          <w:i/>
          <w:color w:val="231F20"/>
          <w:spacing w:val="-1"/>
        </w:rPr>
        <w:t> </w:t>
      </w:r>
      <w:r>
        <w:rPr>
          <w:i/>
          <w:color w:val="231F20"/>
        </w:rPr>
        <w:t>another</w:t>
      </w:r>
      <w:r>
        <w:rPr>
          <w:color w:val="231F20"/>
        </w:rPr>
        <w:t> with brotherly aﬀection; outdo one another in showing honour. Never ﬂag in</w:t>
      </w:r>
      <w:r>
        <w:rPr>
          <w:color w:val="231F20"/>
          <w:spacing w:val="-15"/>
        </w:rPr>
        <w:t> </w:t>
      </w:r>
      <w:r>
        <w:rPr>
          <w:color w:val="231F20"/>
        </w:rPr>
        <w:t>zeal,</w:t>
      </w:r>
    </w:p>
    <w:p>
      <w:pPr>
        <w:pStyle w:val="Heading6"/>
        <w:spacing w:line="216" w:lineRule="auto" w:before="3"/>
        <w:ind w:left="3072" w:right="745" w:firstLine="3217"/>
      </w:pPr>
      <w:r>
        <w:rPr>
          <w:i/>
          <w:color w:val="231F20"/>
        </w:rPr>
        <w:t>be aglow with the Spirit, serve</w:t>
      </w:r>
      <w:r>
        <w:rPr>
          <w:i/>
          <w:color w:val="231F20"/>
          <w:spacing w:val="-2"/>
        </w:rPr>
        <w:t> </w:t>
      </w:r>
      <w:r>
        <w:rPr>
          <w:i/>
          <w:color w:val="231F20"/>
        </w:rPr>
        <w:t>the </w:t>
      </w:r>
      <w:r>
        <w:rPr>
          <w:i/>
          <w:color w:val="231F20"/>
          <w:spacing w:val="-4"/>
        </w:rPr>
        <w:t>Lord.</w:t>
      </w:r>
      <w:r>
        <w:rPr>
          <w:color w:val="231F20"/>
        </w:rPr>
        <w:t> Rejoice in your hope, be patient in tribulation, be constant in</w:t>
      </w:r>
      <w:r>
        <w:rPr>
          <w:color w:val="231F20"/>
          <w:spacing w:val="-15"/>
        </w:rPr>
        <w:t> </w:t>
      </w:r>
      <w:r>
        <w:rPr>
          <w:color w:val="231F20"/>
        </w:rPr>
        <w:t>prayer.</w:t>
      </w:r>
    </w:p>
    <w:p>
      <w:pPr>
        <w:pStyle w:val="Heading5"/>
        <w:spacing w:line="351" w:lineRule="exact"/>
        <w:ind w:right="745"/>
        <w:jc w:val="right"/>
      </w:pPr>
      <w:r>
        <w:rPr>
          <w:color w:val="231F20"/>
        </w:rPr>
        <w:t>Romans 12: 9-11</w:t>
      </w:r>
    </w:p>
    <w:p>
      <w:pPr>
        <w:spacing w:after="0" w:line="351" w:lineRule="exact"/>
        <w:jc w:val="right"/>
        <w:sectPr>
          <w:headerReference w:type="default" r:id="rId151"/>
          <w:footerReference w:type="default" r:id="rId152"/>
          <w:pgSz w:w="11910" w:h="16840"/>
          <w:pgMar w:header="0" w:footer="1179" w:top="1500" w:bottom="1360" w:left="160" w:right="220"/>
          <w:pgNumType w:start="16"/>
        </w:sectPr>
      </w:pPr>
    </w:p>
    <w:p>
      <w:pPr>
        <w:pStyle w:val="Heading5"/>
        <w:spacing w:line="216" w:lineRule="auto" w:before="102"/>
        <w:ind w:left="873" w:right="486"/>
        <w:jc w:val="left"/>
      </w:pPr>
      <w:r>
        <w:rPr>
          <w:color w:val="231F20"/>
        </w:rPr>
        <w:t>Let us draw as a conclusion from reading these scriptural passages that all of us, as disciples of Christ, are called to practise appreciative love.</w:t>
      </w:r>
    </w:p>
    <w:p>
      <w:pPr>
        <w:pStyle w:val="BodyText"/>
        <w:spacing w:before="7"/>
        <w:rPr>
          <w:rFonts w:ascii="Palatino Linotype"/>
          <w:sz w:val="25"/>
        </w:rPr>
      </w:pPr>
    </w:p>
    <w:p>
      <w:pPr>
        <w:pStyle w:val="Heading5"/>
        <w:spacing w:line="216" w:lineRule="auto"/>
        <w:ind w:left="873" w:right="486"/>
        <w:jc w:val="left"/>
      </w:pPr>
      <w:r>
        <w:rPr>
          <w:color w:val="231F20"/>
        </w:rPr>
        <w:t>It is a high form of love, and </w:t>
      </w:r>
      <w:r>
        <w:rPr>
          <w:color w:val="231F20"/>
          <w:spacing w:val="-3"/>
        </w:rPr>
        <w:t>we </w:t>
      </w:r>
      <w:r>
        <w:rPr>
          <w:color w:val="231F20"/>
        </w:rPr>
        <w:t>are all encouraged in faith to recognise its value and engage in purifying our love for each other by celebrating our best</w:t>
      </w:r>
      <w:r>
        <w:rPr>
          <w:color w:val="231F20"/>
          <w:spacing w:val="-5"/>
        </w:rPr>
        <w:t> </w:t>
      </w:r>
      <w:r>
        <w:rPr>
          <w:color w:val="231F20"/>
        </w:rPr>
        <w:t>qualities:</w:t>
      </w:r>
    </w:p>
    <w:p>
      <w:pPr>
        <w:pStyle w:val="Heading6"/>
        <w:spacing w:line="216" w:lineRule="auto" w:before="191"/>
        <w:ind w:left="962" w:right="695" w:firstLine="376"/>
      </w:pPr>
      <w:r>
        <w:rPr>
          <w:i/>
          <w:color w:val="231F20"/>
        </w:rPr>
        <w:t>The aesthetic experience of love is expressed in that “gaze” which</w:t>
      </w:r>
      <w:r>
        <w:rPr>
          <w:i/>
          <w:color w:val="231F20"/>
          <w:spacing w:val="-1"/>
        </w:rPr>
        <w:t> </w:t>
      </w:r>
      <w:r>
        <w:rPr>
          <w:i/>
          <w:color w:val="231F20"/>
        </w:rPr>
        <w:t>contemplates</w:t>
      </w:r>
      <w:r>
        <w:rPr>
          <w:i/>
          <w:color w:val="231F20"/>
          <w:spacing w:val="-1"/>
        </w:rPr>
        <w:t> </w:t>
      </w:r>
      <w:r>
        <w:rPr>
          <w:i/>
          <w:color w:val="231F20"/>
          <w:spacing w:val="-4"/>
        </w:rPr>
        <w:t>other</w:t>
      </w:r>
      <w:r>
        <w:rPr>
          <w:color w:val="231F20"/>
        </w:rPr>
        <w:t> persons as ends in themselves, even if they are inﬁrm, elderly or</w:t>
      </w:r>
      <w:r>
        <w:rPr>
          <w:color w:val="231F20"/>
          <w:spacing w:val="-9"/>
        </w:rPr>
        <w:t> </w:t>
      </w:r>
      <w:r>
        <w:rPr>
          <w:color w:val="231F20"/>
        </w:rPr>
        <w:t>physically</w:t>
      </w:r>
      <w:r>
        <w:rPr>
          <w:color w:val="231F20"/>
          <w:spacing w:val="-1"/>
        </w:rPr>
        <w:t> </w:t>
      </w:r>
      <w:r>
        <w:rPr>
          <w:color w:val="231F20"/>
          <w:spacing w:val="-3"/>
        </w:rPr>
        <w:t>unattractive.</w:t>
      </w:r>
      <w:r>
        <w:rPr>
          <w:color w:val="231F20"/>
        </w:rPr>
        <w:t> Love opens our eyes and enables us to see, beyond all else, the great worth of</w:t>
      </w:r>
      <w:r>
        <w:rPr>
          <w:color w:val="231F20"/>
          <w:spacing w:val="-10"/>
        </w:rPr>
        <w:t> </w:t>
      </w:r>
      <w:r>
        <w:rPr>
          <w:color w:val="231F20"/>
        </w:rPr>
        <w:t>a human being. The joy of this contemplative love needs to be cultivated. Since </w:t>
      </w:r>
      <w:r>
        <w:rPr>
          <w:color w:val="231F20"/>
          <w:spacing w:val="-3"/>
        </w:rPr>
        <w:t>we </w:t>
      </w:r>
      <w:r>
        <w:rPr>
          <w:color w:val="231F20"/>
        </w:rPr>
        <w:t>were</w:t>
      </w:r>
      <w:r>
        <w:rPr>
          <w:color w:val="231F20"/>
          <w:spacing w:val="-18"/>
        </w:rPr>
        <w:t> </w:t>
      </w:r>
      <w:r>
        <w:rPr>
          <w:color w:val="231F20"/>
        </w:rPr>
        <w:t>made</w:t>
      </w:r>
      <w:r>
        <w:rPr>
          <w:color w:val="231F20"/>
          <w:spacing w:val="-1"/>
        </w:rPr>
        <w:t> </w:t>
      </w:r>
      <w:r>
        <w:rPr>
          <w:color w:val="231F20"/>
        </w:rPr>
        <w:t>for love, </w:t>
      </w:r>
      <w:r>
        <w:rPr>
          <w:color w:val="231F20"/>
          <w:spacing w:val="-3"/>
        </w:rPr>
        <w:t>we </w:t>
      </w:r>
      <w:r>
        <w:rPr>
          <w:color w:val="231F20"/>
        </w:rPr>
        <w:t>know that there is no greater joy than that of sharing good things:</w:t>
      </w:r>
      <w:r>
        <w:rPr>
          <w:color w:val="231F20"/>
          <w:spacing w:val="-6"/>
        </w:rPr>
        <w:t> </w:t>
      </w:r>
      <w:r>
        <w:rPr>
          <w:color w:val="231F20"/>
        </w:rPr>
        <w:t>“Give, take, and treat yourself well” (Sir 14:16). The most intense joys in life arise when </w:t>
      </w:r>
      <w:r>
        <w:rPr>
          <w:color w:val="231F20"/>
          <w:spacing w:val="-3"/>
        </w:rPr>
        <w:t>we </w:t>
      </w:r>
      <w:r>
        <w:rPr>
          <w:color w:val="231F20"/>
        </w:rPr>
        <w:t>are</w:t>
      </w:r>
      <w:r>
        <w:rPr>
          <w:color w:val="231F20"/>
          <w:spacing w:val="-1"/>
        </w:rPr>
        <w:t> </w:t>
      </w:r>
      <w:r>
        <w:rPr>
          <w:color w:val="231F20"/>
        </w:rPr>
        <w:t>able</w:t>
      </w:r>
    </w:p>
    <w:p>
      <w:pPr>
        <w:pStyle w:val="Heading6"/>
        <w:spacing w:line="339" w:lineRule="exact"/>
        <w:ind w:right="695"/>
        <w:rPr>
          <w:i/>
        </w:rPr>
      </w:pPr>
      <w:r>
        <w:rPr>
          <w:i/>
          <w:color w:val="231F20"/>
        </w:rPr>
        <w:t>to elicit joy in others, as a foretaste of</w:t>
      </w:r>
      <w:r>
        <w:rPr>
          <w:i/>
          <w:color w:val="231F20"/>
          <w:spacing w:val="-5"/>
        </w:rPr>
        <w:t> </w:t>
      </w:r>
      <w:r>
        <w:rPr>
          <w:i/>
          <w:color w:val="231F20"/>
        </w:rPr>
        <w:t>heaven.</w:t>
      </w:r>
    </w:p>
    <w:p>
      <w:pPr>
        <w:pStyle w:val="Heading5"/>
        <w:spacing w:line="360" w:lineRule="exact"/>
        <w:ind w:right="695"/>
        <w:jc w:val="right"/>
      </w:pPr>
      <w:r>
        <w:rPr>
          <w:color w:val="231F20"/>
        </w:rPr>
        <w:t>AL 128/9</w:t>
      </w:r>
    </w:p>
    <w:p>
      <w:pPr>
        <w:spacing w:after="0" w:line="360" w:lineRule="exact"/>
        <w:jc w:val="right"/>
        <w:sectPr>
          <w:headerReference w:type="default" r:id="rId154"/>
          <w:footerReference w:type="default" r:id="rId155"/>
          <w:pgSz w:w="11910" w:h="16840"/>
          <w:pgMar w:header="0" w:footer="1132" w:top="1340" w:bottom="1320" w:left="160" w:right="220"/>
          <w:pgNumType w:start="17"/>
        </w:sectPr>
      </w:pPr>
    </w:p>
    <w:p>
      <w:pPr>
        <w:spacing w:line="216" w:lineRule="auto" w:before="97"/>
        <w:ind w:left="773" w:right="-19" w:firstLine="0"/>
        <w:jc w:val="left"/>
        <w:rPr>
          <w:rFonts w:ascii="Palatino Linotype" w:hAnsi="Palatino Linotype"/>
          <w:b/>
          <w:i/>
          <w:sz w:val="48"/>
        </w:rPr>
      </w:pPr>
      <w:r>
        <w:rPr>
          <w:rFonts w:ascii="Palatino Linotype" w:hAnsi="Palatino Linotype"/>
          <w:b/>
          <w:i/>
          <w:color w:val="008790"/>
          <w:sz w:val="48"/>
        </w:rPr>
        <w:t>“...the language </w:t>
      </w:r>
      <w:r>
        <w:rPr>
          <w:rFonts w:ascii="Palatino Linotype" w:hAnsi="Palatino Linotype"/>
          <w:b/>
          <w:i/>
          <w:color w:val="008790"/>
          <w:sz w:val="48"/>
        </w:rPr>
        <w:t>of love is not conﬁned to sexual expression...”</w:t>
      </w:r>
    </w:p>
    <w:p>
      <w:pPr>
        <w:pStyle w:val="Heading5"/>
        <w:spacing w:line="216" w:lineRule="auto" w:before="66"/>
        <w:ind w:left="401" w:right="694"/>
      </w:pPr>
      <w:r>
        <w:rPr/>
        <w:br w:type="column"/>
      </w:r>
      <w:r>
        <w:rPr>
          <w:color w:val="231F20"/>
        </w:rPr>
        <w:t>Here we would like to emphasise that this exalted form of love exists just as powerfully in relationships between people of the same sex as it does in heterosexual relationships.</w:t>
      </w:r>
    </w:p>
    <w:p>
      <w:pPr>
        <w:pStyle w:val="BodyText"/>
        <w:spacing w:before="10"/>
        <w:rPr>
          <w:rFonts w:ascii="Palatino Linotype"/>
          <w:sz w:val="25"/>
        </w:rPr>
      </w:pPr>
    </w:p>
    <w:p>
      <w:pPr>
        <w:pStyle w:val="Heading5"/>
        <w:spacing w:line="216" w:lineRule="auto"/>
        <w:ind w:left="401" w:right="694"/>
      </w:pPr>
      <w:r>
        <w:rPr>
          <w:color w:val="231F20"/>
          <w:spacing w:val="-10"/>
        </w:rPr>
        <w:t>We </w:t>
      </w:r>
      <w:r>
        <w:rPr>
          <w:color w:val="231F20"/>
        </w:rPr>
        <w:t>applaud the great progress that has been </w:t>
      </w:r>
      <w:r>
        <w:rPr>
          <w:color w:val="231F20"/>
          <w:spacing w:val="-3"/>
        </w:rPr>
        <w:t>made </w:t>
      </w:r>
      <w:r>
        <w:rPr>
          <w:color w:val="231F20"/>
        </w:rPr>
        <w:t>in</w:t>
      </w:r>
      <w:r>
        <w:rPr>
          <w:color w:val="231F20"/>
          <w:spacing w:val="-24"/>
        </w:rPr>
        <w:t> </w:t>
      </w:r>
      <w:r>
        <w:rPr>
          <w:color w:val="231F20"/>
        </w:rPr>
        <w:t>countering</w:t>
      </w:r>
      <w:r>
        <w:rPr>
          <w:color w:val="231F20"/>
          <w:spacing w:val="-23"/>
        </w:rPr>
        <w:t> </w:t>
      </w:r>
      <w:r>
        <w:rPr>
          <w:color w:val="231F20"/>
        </w:rPr>
        <w:t>all</w:t>
      </w:r>
      <w:r>
        <w:rPr>
          <w:color w:val="231F20"/>
          <w:spacing w:val="-23"/>
        </w:rPr>
        <w:t> </w:t>
      </w:r>
      <w:r>
        <w:rPr>
          <w:color w:val="231F20"/>
        </w:rPr>
        <w:t>forms</w:t>
      </w:r>
      <w:r>
        <w:rPr>
          <w:color w:val="231F20"/>
          <w:spacing w:val="-24"/>
        </w:rPr>
        <w:t> </w:t>
      </w:r>
      <w:r>
        <w:rPr>
          <w:color w:val="231F20"/>
        </w:rPr>
        <w:t>of</w:t>
      </w:r>
      <w:r>
        <w:rPr>
          <w:color w:val="231F20"/>
          <w:spacing w:val="-23"/>
        </w:rPr>
        <w:t> </w:t>
      </w:r>
      <w:r>
        <w:rPr>
          <w:color w:val="231F20"/>
        </w:rPr>
        <w:t>discrimination</w:t>
      </w:r>
      <w:r>
        <w:rPr>
          <w:color w:val="231F20"/>
          <w:spacing w:val="-23"/>
        </w:rPr>
        <w:t> </w:t>
      </w:r>
      <w:r>
        <w:rPr>
          <w:color w:val="231F20"/>
        </w:rPr>
        <w:t>against</w:t>
      </w:r>
      <w:r>
        <w:rPr>
          <w:color w:val="231F20"/>
          <w:spacing w:val="-24"/>
        </w:rPr>
        <w:t> </w:t>
      </w:r>
      <w:r>
        <w:rPr>
          <w:color w:val="231F20"/>
        </w:rPr>
        <w:t>ho- mosexuality</w:t>
      </w:r>
      <w:r>
        <w:rPr>
          <w:color w:val="231F20"/>
          <w:spacing w:val="-22"/>
        </w:rPr>
        <w:t> </w:t>
      </w:r>
      <w:r>
        <w:rPr>
          <w:color w:val="231F20"/>
        </w:rPr>
        <w:t>in</w:t>
      </w:r>
      <w:r>
        <w:rPr>
          <w:color w:val="231F20"/>
          <w:spacing w:val="-22"/>
        </w:rPr>
        <w:t> </w:t>
      </w:r>
      <w:r>
        <w:rPr>
          <w:color w:val="231F20"/>
        </w:rPr>
        <w:t>recent</w:t>
      </w:r>
      <w:r>
        <w:rPr>
          <w:color w:val="231F20"/>
          <w:spacing w:val="-21"/>
        </w:rPr>
        <w:t> </w:t>
      </w:r>
      <w:r>
        <w:rPr>
          <w:color w:val="231F20"/>
        </w:rPr>
        <w:t>times,</w:t>
      </w:r>
      <w:r>
        <w:rPr>
          <w:color w:val="231F20"/>
          <w:spacing w:val="-22"/>
        </w:rPr>
        <w:t> </w:t>
      </w:r>
      <w:r>
        <w:rPr>
          <w:color w:val="231F20"/>
        </w:rPr>
        <w:t>and</w:t>
      </w:r>
      <w:r>
        <w:rPr>
          <w:color w:val="231F20"/>
          <w:spacing w:val="-21"/>
        </w:rPr>
        <w:t> </w:t>
      </w:r>
      <w:r>
        <w:rPr>
          <w:color w:val="231F20"/>
        </w:rPr>
        <w:t>wish</w:t>
      </w:r>
      <w:r>
        <w:rPr>
          <w:color w:val="231F20"/>
          <w:spacing w:val="-22"/>
        </w:rPr>
        <w:t> </w:t>
      </w:r>
      <w:r>
        <w:rPr>
          <w:color w:val="231F20"/>
        </w:rPr>
        <w:t>to</w:t>
      </w:r>
      <w:r>
        <w:rPr>
          <w:color w:val="231F20"/>
          <w:spacing w:val="-22"/>
        </w:rPr>
        <w:t> </w:t>
      </w:r>
      <w:r>
        <w:rPr>
          <w:color w:val="231F20"/>
        </w:rPr>
        <w:t>collaborate with eﬀorts to make such discrimination obsolete:</w:t>
      </w:r>
    </w:p>
    <w:p>
      <w:pPr>
        <w:spacing w:after="0" w:line="216" w:lineRule="auto"/>
        <w:sectPr>
          <w:type w:val="continuous"/>
          <w:pgSz w:w="11910" w:h="16840"/>
          <w:pgMar w:top="1320" w:bottom="1640" w:left="160" w:right="220"/>
          <w:cols w:num="2" w:equalWidth="0">
            <w:col w:w="4082" w:space="40"/>
            <w:col w:w="7408"/>
          </w:cols>
        </w:sectPr>
      </w:pPr>
    </w:p>
    <w:p>
      <w:pPr>
        <w:pStyle w:val="BodyText"/>
        <w:spacing w:before="9"/>
        <w:rPr>
          <w:rFonts w:ascii="Palatino Linotype"/>
          <w:sz w:val="8"/>
        </w:rPr>
      </w:pPr>
    </w:p>
    <w:p>
      <w:pPr>
        <w:pStyle w:val="Heading6"/>
        <w:spacing w:line="216" w:lineRule="auto" w:before="131"/>
        <w:ind w:left="1294" w:right="739" w:firstLine="183"/>
      </w:pPr>
      <w:r>
        <w:rPr>
          <w:i/>
          <w:color w:val="231F20"/>
        </w:rPr>
        <w:t>Learning to love encompasses a range of relationships not just sexual ones, </w:t>
      </w:r>
      <w:r>
        <w:rPr>
          <w:i/>
          <w:color w:val="231F20"/>
          <w:spacing w:val="-3"/>
        </w:rPr>
        <w:t>because</w:t>
      </w:r>
      <w:r>
        <w:rPr>
          <w:color w:val="231F20"/>
        </w:rPr>
        <w:t> human beings ﬂourish through various and diﬀerent relationships with</w:t>
      </w:r>
      <w:r>
        <w:rPr>
          <w:color w:val="231F20"/>
          <w:spacing w:val="-3"/>
        </w:rPr>
        <w:t> </w:t>
      </w:r>
      <w:r>
        <w:rPr>
          <w:color w:val="231F20"/>
        </w:rPr>
        <w:t>other</w:t>
      </w:r>
      <w:r>
        <w:rPr>
          <w:color w:val="231F20"/>
          <w:spacing w:val="-1"/>
        </w:rPr>
        <w:t> </w:t>
      </w:r>
      <w:r>
        <w:rPr>
          <w:color w:val="231F20"/>
          <w:spacing w:val="-3"/>
        </w:rPr>
        <w:t>people.</w:t>
      </w:r>
      <w:r>
        <w:rPr>
          <w:color w:val="231F20"/>
        </w:rPr>
        <w:t> God’s gift of friendship is a </w:t>
      </w:r>
      <w:r>
        <w:rPr>
          <w:color w:val="231F20"/>
          <w:spacing w:val="-3"/>
        </w:rPr>
        <w:t>way </w:t>
      </w:r>
      <w:r>
        <w:rPr>
          <w:color w:val="231F20"/>
        </w:rPr>
        <w:t>of loving, and while sexual</w:t>
      </w:r>
      <w:r>
        <w:rPr>
          <w:color w:val="231F20"/>
          <w:spacing w:val="3"/>
        </w:rPr>
        <w:t> </w:t>
      </w:r>
      <w:r>
        <w:rPr>
          <w:color w:val="231F20"/>
        </w:rPr>
        <w:t>loving</w:t>
      </w:r>
      <w:r>
        <w:rPr>
          <w:color w:val="231F20"/>
          <w:spacing w:val="1"/>
        </w:rPr>
        <w:t> </w:t>
      </w:r>
      <w:r>
        <w:rPr>
          <w:color w:val="231F20"/>
        </w:rPr>
        <w:t>presupposes friendship, friendship does not require full sexual</w:t>
      </w:r>
      <w:r>
        <w:rPr>
          <w:color w:val="231F20"/>
          <w:spacing w:val="-5"/>
        </w:rPr>
        <w:t> </w:t>
      </w:r>
      <w:r>
        <w:rPr>
          <w:color w:val="231F20"/>
        </w:rPr>
        <w:t>involvement.</w:t>
      </w:r>
    </w:p>
    <w:p>
      <w:pPr>
        <w:pStyle w:val="Heading5"/>
        <w:spacing w:line="336" w:lineRule="exact"/>
        <w:ind w:right="739"/>
        <w:jc w:val="right"/>
      </w:pPr>
      <w:r>
        <w:rPr>
          <w:color w:val="231F20"/>
        </w:rPr>
        <w:t>Cardinal Basil Hume, A note on  the teaching of the Catholic</w:t>
      </w:r>
      <w:r>
        <w:rPr>
          <w:color w:val="231F20"/>
          <w:spacing w:val="-11"/>
        </w:rPr>
        <w:t> </w:t>
      </w:r>
      <w:r>
        <w:rPr>
          <w:color w:val="231F20"/>
        </w:rPr>
        <w:t>Church</w:t>
      </w:r>
    </w:p>
    <w:p>
      <w:pPr>
        <w:pStyle w:val="Heading5"/>
        <w:spacing w:line="360" w:lineRule="exact"/>
        <w:ind w:right="739"/>
        <w:jc w:val="right"/>
      </w:pPr>
      <w:r>
        <w:rPr>
          <w:color w:val="231F20"/>
        </w:rPr>
        <w:t>concerning homosexuality, 8 April</w:t>
      </w:r>
      <w:r>
        <w:rPr>
          <w:color w:val="231F20"/>
          <w:spacing w:val="-11"/>
        </w:rPr>
        <w:t> </w:t>
      </w:r>
      <w:r>
        <w:rPr>
          <w:color w:val="231F20"/>
        </w:rPr>
        <w:t>1997</w:t>
      </w:r>
    </w:p>
    <w:p>
      <w:pPr>
        <w:pStyle w:val="Heading5"/>
        <w:spacing w:line="216" w:lineRule="auto" w:before="194"/>
        <w:ind w:left="783" w:right="775"/>
      </w:pPr>
      <w:r>
        <w:rPr>
          <w:color w:val="231F20"/>
        </w:rPr>
        <w:t>We ﬁnish this chapter by reiterating that the language of love is not conﬁned to sexual expression, and that appreciative love is an exalted expression of love in its purest form, the love that our Lord Jesus had for His disciples, and it is the quality of love which we should all be ambitious to cultivate:</w:t>
      </w:r>
    </w:p>
    <w:p>
      <w:pPr>
        <w:pStyle w:val="Heading6"/>
        <w:spacing w:line="216" w:lineRule="auto" w:before="239"/>
        <w:ind w:left="1133" w:right="705" w:firstLine="538"/>
      </w:pPr>
      <w:r>
        <w:rPr>
          <w:i/>
          <w:color w:val="231F20"/>
        </w:rPr>
        <w:t>The love of friendship is called “charity” when it perceives and esteems</w:t>
      </w:r>
      <w:r>
        <w:rPr>
          <w:i/>
          <w:color w:val="231F20"/>
          <w:spacing w:val="-15"/>
        </w:rPr>
        <w:t> </w:t>
      </w:r>
      <w:r>
        <w:rPr>
          <w:i/>
          <w:color w:val="231F20"/>
        </w:rPr>
        <w:t>the</w:t>
      </w:r>
      <w:r>
        <w:rPr>
          <w:i/>
          <w:color w:val="231F20"/>
          <w:spacing w:val="-1"/>
        </w:rPr>
        <w:t> </w:t>
      </w:r>
      <w:r>
        <w:rPr>
          <w:i/>
          <w:color w:val="231F20"/>
        </w:rPr>
        <w:t>“great</w:t>
      </w:r>
      <w:r>
        <w:rPr>
          <w:color w:val="231F20"/>
        </w:rPr>
        <w:t> worth” of another person. Beauty – that “great worth” which is other than</w:t>
      </w:r>
      <w:r>
        <w:rPr>
          <w:color w:val="231F20"/>
          <w:spacing w:val="-13"/>
        </w:rPr>
        <w:t> </w:t>
      </w:r>
      <w:r>
        <w:rPr>
          <w:color w:val="231F20"/>
        </w:rPr>
        <w:t>physical or psychological appeal – enables us to appreciate the sacredness of a</w:t>
      </w:r>
      <w:r>
        <w:rPr>
          <w:color w:val="231F20"/>
          <w:spacing w:val="-13"/>
        </w:rPr>
        <w:t> </w:t>
      </w:r>
      <w:r>
        <w:rPr>
          <w:color w:val="231F20"/>
        </w:rPr>
        <w:t>person,</w:t>
      </w:r>
      <w:r>
        <w:rPr>
          <w:color w:val="231F20"/>
          <w:spacing w:val="-1"/>
        </w:rPr>
        <w:t> </w:t>
      </w:r>
      <w:r>
        <w:rPr>
          <w:color w:val="231F20"/>
        </w:rPr>
        <w:t>without feeling the need to possess it...Loving another person involves the joy</w:t>
      </w:r>
      <w:r>
        <w:rPr>
          <w:color w:val="231F20"/>
          <w:spacing w:val="-15"/>
        </w:rPr>
        <w:t> </w:t>
      </w:r>
      <w:r>
        <w:rPr>
          <w:color w:val="231F20"/>
        </w:rPr>
        <w:t>of</w:t>
      </w:r>
      <w:r>
        <w:rPr>
          <w:color w:val="231F20"/>
          <w:spacing w:val="-1"/>
        </w:rPr>
        <w:t> </w:t>
      </w:r>
      <w:r>
        <w:rPr>
          <w:color w:val="231F20"/>
        </w:rPr>
        <w:t>contemplating and appreciating their innate beauty and sacredness, which is greater than my</w:t>
      </w:r>
      <w:r>
        <w:rPr>
          <w:color w:val="231F20"/>
          <w:spacing w:val="-12"/>
        </w:rPr>
        <w:t> </w:t>
      </w:r>
      <w:r>
        <w:rPr>
          <w:color w:val="231F20"/>
        </w:rPr>
        <w:t>needs.</w:t>
      </w:r>
    </w:p>
    <w:p>
      <w:pPr>
        <w:pStyle w:val="Heading5"/>
        <w:spacing w:line="355" w:lineRule="exact"/>
        <w:ind w:right="705"/>
        <w:jc w:val="right"/>
      </w:pPr>
      <w:r>
        <w:rPr>
          <w:color w:val="231F20"/>
        </w:rPr>
        <w:t>AL 127</w:t>
      </w:r>
    </w:p>
    <w:p>
      <w:pPr>
        <w:spacing w:after="0" w:line="355" w:lineRule="exact"/>
        <w:jc w:val="right"/>
        <w:sectPr>
          <w:type w:val="continuous"/>
          <w:pgSz w:w="11910" w:h="16840"/>
          <w:pgMar w:top="1320" w:bottom="1640" w:left="160" w:right="220"/>
        </w:sectPr>
      </w:pPr>
    </w:p>
    <w:p>
      <w:pPr>
        <w:spacing w:before="89"/>
        <w:ind w:left="775" w:right="0" w:firstLine="0"/>
        <w:jc w:val="both"/>
        <w:rPr>
          <w:rFonts w:ascii="Palatino Linotype"/>
          <w:sz w:val="48"/>
        </w:rPr>
      </w:pPr>
      <w:r>
        <w:rPr>
          <w:rFonts w:ascii="Palatino Linotype"/>
          <w:color w:val="008790"/>
          <w:sz w:val="48"/>
        </w:rPr>
        <w:t>chapter 4 - honouring the body</w:t>
      </w:r>
    </w:p>
    <w:p>
      <w:pPr>
        <w:pStyle w:val="Heading6"/>
        <w:spacing w:line="216" w:lineRule="auto" w:before="369"/>
        <w:ind w:left="4243" w:hanging="2642"/>
        <w:jc w:val="both"/>
      </w:pPr>
      <w:r>
        <w:rPr>
          <w:i/>
          <w:color w:val="231F20"/>
        </w:rPr>
        <w:t>The body is not meant for immorality, but for the Lord, and the Lord for the </w:t>
      </w:r>
      <w:r>
        <w:rPr>
          <w:i/>
          <w:color w:val="231F20"/>
          <w:spacing w:val="-4"/>
        </w:rPr>
        <w:t>body. </w:t>
      </w:r>
      <w:r>
        <w:rPr>
          <w:color w:val="231F20"/>
        </w:rPr>
        <w:t>Do you not know that your bodies are members of</w:t>
      </w:r>
      <w:r>
        <w:rPr>
          <w:color w:val="231F20"/>
          <w:spacing w:val="3"/>
        </w:rPr>
        <w:t> </w:t>
      </w:r>
      <w:r>
        <w:rPr>
          <w:color w:val="231F20"/>
          <w:spacing w:val="-3"/>
        </w:rPr>
        <w:t>Christ?</w:t>
      </w:r>
    </w:p>
    <w:p>
      <w:pPr>
        <w:pStyle w:val="Heading6"/>
        <w:spacing w:line="216" w:lineRule="auto" w:before="3"/>
        <w:ind w:left="1153" w:firstLine="216"/>
        <w:jc w:val="both"/>
      </w:pPr>
      <w:r>
        <w:rPr>
          <w:i/>
          <w:color w:val="231F20"/>
        </w:rPr>
        <w:t>He who is united to the Lord becomes one spirit with Him. Shun immorality. </w:t>
      </w:r>
      <w:r>
        <w:rPr>
          <w:i/>
          <w:color w:val="231F20"/>
          <w:spacing w:val="-5"/>
        </w:rPr>
        <w:t>Every </w:t>
      </w:r>
      <w:r>
        <w:rPr>
          <w:color w:val="231F20"/>
        </w:rPr>
        <w:t>other sin which a man commits is outside the body; but the immoral man sins </w:t>
      </w:r>
      <w:r>
        <w:rPr>
          <w:color w:val="231F20"/>
          <w:spacing w:val="-3"/>
        </w:rPr>
        <w:t>against </w:t>
      </w:r>
      <w:r>
        <w:rPr>
          <w:color w:val="231F20"/>
        </w:rPr>
        <w:t>his own body. Do you not know that your body is a temple of the Holy Spirit within you, which you have from God? </w:t>
      </w:r>
      <w:r>
        <w:rPr>
          <w:color w:val="231F20"/>
          <w:spacing w:val="-8"/>
        </w:rPr>
        <w:t>You </w:t>
      </w:r>
      <w:r>
        <w:rPr>
          <w:color w:val="231F20"/>
        </w:rPr>
        <w:t>are not your own; you were bought with a</w:t>
      </w:r>
      <w:r>
        <w:rPr>
          <w:color w:val="231F20"/>
          <w:spacing w:val="-1"/>
        </w:rPr>
        <w:t> </w:t>
      </w:r>
      <w:r>
        <w:rPr>
          <w:color w:val="231F20"/>
        </w:rPr>
        <w:t>price.</w:t>
      </w:r>
    </w:p>
    <w:p>
      <w:pPr>
        <w:pStyle w:val="Heading6"/>
        <w:spacing w:line="336" w:lineRule="exact"/>
        <w:rPr>
          <w:i/>
        </w:rPr>
      </w:pPr>
      <w:r>
        <w:rPr>
          <w:i/>
          <w:color w:val="231F20"/>
        </w:rPr>
        <w:t>So glorify God in your body.</w:t>
      </w:r>
    </w:p>
    <w:p>
      <w:pPr>
        <w:pStyle w:val="Heading5"/>
        <w:spacing w:line="360" w:lineRule="exact"/>
        <w:ind w:right="768"/>
        <w:jc w:val="right"/>
      </w:pPr>
      <w:r>
        <w:rPr>
          <w:color w:val="231F20"/>
        </w:rPr>
        <w:t>1 Corinthians 6:13.17-20</w:t>
      </w:r>
    </w:p>
    <w:p>
      <w:pPr>
        <w:pStyle w:val="Heading5"/>
        <w:spacing w:line="216" w:lineRule="auto" w:before="57"/>
        <w:ind w:left="790" w:right="768"/>
      </w:pPr>
      <w:r>
        <w:rPr>
          <w:color w:val="231F20"/>
          <w:spacing w:val="-10"/>
        </w:rPr>
        <w:t>At </w:t>
      </w:r>
      <w:r>
        <w:rPr>
          <w:color w:val="231F20"/>
        </w:rPr>
        <w:t>the heart of the Church's teaching on sexual ethics is the belief that our </w:t>
      </w:r>
      <w:r>
        <w:rPr>
          <w:color w:val="231F20"/>
          <w:spacing w:val="-3"/>
        </w:rPr>
        <w:t>innate </w:t>
      </w:r>
      <w:r>
        <w:rPr>
          <w:color w:val="231F20"/>
        </w:rPr>
        <w:t>human dignity embraces also our bodies. Our dignity is not dependent on whether</w:t>
      </w:r>
      <w:r>
        <w:rPr>
          <w:color w:val="231F20"/>
          <w:spacing w:val="-7"/>
        </w:rPr>
        <w:t> </w:t>
      </w:r>
      <w:r>
        <w:rPr>
          <w:color w:val="231F20"/>
          <w:spacing w:val="-3"/>
        </w:rPr>
        <w:t>we</w:t>
      </w:r>
      <w:r>
        <w:rPr>
          <w:color w:val="231F20"/>
          <w:spacing w:val="-6"/>
        </w:rPr>
        <w:t> </w:t>
      </w:r>
      <w:r>
        <w:rPr>
          <w:color w:val="231F20"/>
        </w:rPr>
        <w:t>are</w:t>
      </w:r>
      <w:r>
        <w:rPr>
          <w:color w:val="231F20"/>
          <w:spacing w:val="-6"/>
        </w:rPr>
        <w:t> </w:t>
      </w:r>
      <w:r>
        <w:rPr>
          <w:color w:val="231F20"/>
        </w:rPr>
        <w:t>old</w:t>
      </w:r>
      <w:r>
        <w:rPr>
          <w:color w:val="231F20"/>
          <w:spacing w:val="-6"/>
        </w:rPr>
        <w:t> </w:t>
      </w:r>
      <w:r>
        <w:rPr>
          <w:color w:val="231F20"/>
        </w:rPr>
        <w:t>or</w:t>
      </w:r>
      <w:r>
        <w:rPr>
          <w:color w:val="231F20"/>
          <w:spacing w:val="-6"/>
        </w:rPr>
        <w:t> </w:t>
      </w:r>
      <w:r>
        <w:rPr>
          <w:color w:val="231F20"/>
        </w:rPr>
        <w:t>young,</w:t>
      </w:r>
      <w:r>
        <w:rPr>
          <w:color w:val="231F20"/>
          <w:spacing w:val="-6"/>
        </w:rPr>
        <w:t> </w:t>
      </w:r>
      <w:r>
        <w:rPr>
          <w:color w:val="231F20"/>
        </w:rPr>
        <w:t>disabled</w:t>
      </w:r>
      <w:r>
        <w:rPr>
          <w:color w:val="231F20"/>
          <w:spacing w:val="-6"/>
        </w:rPr>
        <w:t> </w:t>
      </w:r>
      <w:r>
        <w:rPr>
          <w:color w:val="231F20"/>
        </w:rPr>
        <w:t>or</w:t>
      </w:r>
      <w:r>
        <w:rPr>
          <w:color w:val="231F20"/>
          <w:spacing w:val="-6"/>
        </w:rPr>
        <w:t> </w:t>
      </w:r>
      <w:r>
        <w:rPr>
          <w:color w:val="231F20"/>
        </w:rPr>
        <w:t>incapacitated,</w:t>
      </w:r>
      <w:r>
        <w:rPr>
          <w:color w:val="231F20"/>
          <w:spacing w:val="-6"/>
        </w:rPr>
        <w:t> </w:t>
      </w:r>
      <w:r>
        <w:rPr>
          <w:color w:val="231F20"/>
        </w:rPr>
        <w:t>unborn</w:t>
      </w:r>
      <w:r>
        <w:rPr>
          <w:color w:val="231F20"/>
          <w:spacing w:val="-6"/>
        </w:rPr>
        <w:t> </w:t>
      </w:r>
      <w:r>
        <w:rPr>
          <w:color w:val="231F20"/>
        </w:rPr>
        <w:t>or</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fullness of life, beautiful or otherwise. By being incarnate we have the dignity of being made in the image of the 'Word made ﬂesh' and </w:t>
      </w:r>
      <w:r>
        <w:rPr>
          <w:color w:val="231F20"/>
          <w:spacing w:val="-3"/>
        </w:rPr>
        <w:t>we </w:t>
      </w:r>
      <w:r>
        <w:rPr>
          <w:color w:val="231F20"/>
        </w:rPr>
        <w:t>have the prospect of eternal life before us.</w:t>
      </w:r>
    </w:p>
    <w:p>
      <w:pPr>
        <w:pStyle w:val="BodyText"/>
        <w:spacing w:before="13"/>
        <w:rPr>
          <w:rFonts w:ascii="Palatino Linotype"/>
          <w:sz w:val="25"/>
        </w:rPr>
      </w:pPr>
    </w:p>
    <w:p>
      <w:pPr>
        <w:pStyle w:val="Heading5"/>
        <w:spacing w:line="216" w:lineRule="auto"/>
        <w:ind w:left="790" w:right="768"/>
      </w:pPr>
      <w:r>
        <w:rPr>
          <w:color w:val="231F20"/>
        </w:rPr>
        <w:t>This</w:t>
      </w:r>
      <w:r>
        <w:rPr>
          <w:color w:val="231F20"/>
          <w:spacing w:val="-9"/>
        </w:rPr>
        <w:t> </w:t>
      </w:r>
      <w:r>
        <w:rPr>
          <w:color w:val="231F20"/>
        </w:rPr>
        <w:t>insight,</w:t>
      </w:r>
      <w:r>
        <w:rPr>
          <w:color w:val="231F20"/>
          <w:spacing w:val="-9"/>
        </w:rPr>
        <w:t> </w:t>
      </w:r>
      <w:r>
        <w:rPr>
          <w:color w:val="231F20"/>
        </w:rPr>
        <w:t>born</w:t>
      </w:r>
      <w:r>
        <w:rPr>
          <w:color w:val="231F20"/>
          <w:spacing w:val="-8"/>
        </w:rPr>
        <w:t> </w:t>
      </w:r>
      <w:r>
        <w:rPr>
          <w:color w:val="231F20"/>
        </w:rPr>
        <w:t>of</w:t>
      </w:r>
      <w:r>
        <w:rPr>
          <w:color w:val="231F20"/>
          <w:spacing w:val="-9"/>
        </w:rPr>
        <w:t> </w:t>
      </w:r>
      <w:r>
        <w:rPr>
          <w:color w:val="231F20"/>
        </w:rPr>
        <w:t>our</w:t>
      </w:r>
      <w:r>
        <w:rPr>
          <w:color w:val="231F20"/>
          <w:spacing w:val="-8"/>
        </w:rPr>
        <w:t> </w:t>
      </w:r>
      <w:r>
        <w:rPr>
          <w:color w:val="231F20"/>
        </w:rPr>
        <w:t>faith</w:t>
      </w:r>
      <w:r>
        <w:rPr>
          <w:color w:val="231F20"/>
          <w:spacing w:val="-9"/>
        </w:rPr>
        <w:t> </w:t>
      </w:r>
      <w:r>
        <w:rPr>
          <w:color w:val="231F20"/>
        </w:rPr>
        <w:t>and</w:t>
      </w:r>
      <w:r>
        <w:rPr>
          <w:color w:val="231F20"/>
          <w:spacing w:val="-8"/>
        </w:rPr>
        <w:t> </w:t>
      </w:r>
      <w:r>
        <w:rPr>
          <w:color w:val="231F20"/>
        </w:rPr>
        <w:t>transmitted</w:t>
      </w:r>
      <w:r>
        <w:rPr>
          <w:color w:val="231F20"/>
          <w:spacing w:val="-9"/>
        </w:rPr>
        <w:t> </w:t>
      </w:r>
      <w:r>
        <w:rPr>
          <w:color w:val="231F20"/>
        </w:rPr>
        <w:t>to</w:t>
      </w:r>
      <w:r>
        <w:rPr>
          <w:color w:val="231F20"/>
          <w:spacing w:val="-9"/>
        </w:rPr>
        <w:t> </w:t>
      </w:r>
      <w:r>
        <w:rPr>
          <w:color w:val="231F20"/>
        </w:rPr>
        <w:t>us</w:t>
      </w:r>
      <w:r>
        <w:rPr>
          <w:color w:val="231F20"/>
          <w:spacing w:val="-8"/>
        </w:rPr>
        <w:t> </w:t>
      </w:r>
      <w:r>
        <w:rPr>
          <w:color w:val="231F20"/>
        </w:rPr>
        <w:t>through</w:t>
      </w:r>
      <w:r>
        <w:rPr>
          <w:color w:val="231F20"/>
          <w:spacing w:val="-9"/>
        </w:rPr>
        <w:t> </w:t>
      </w:r>
      <w:r>
        <w:rPr>
          <w:color w:val="231F20"/>
        </w:rPr>
        <w:t>the</w:t>
      </w:r>
      <w:r>
        <w:rPr>
          <w:color w:val="231F20"/>
          <w:spacing w:val="-8"/>
        </w:rPr>
        <w:t> </w:t>
      </w:r>
      <w:r>
        <w:rPr>
          <w:color w:val="231F20"/>
        </w:rPr>
        <w:t>Church,</w:t>
      </w:r>
      <w:r>
        <w:rPr>
          <w:color w:val="231F20"/>
          <w:spacing w:val="-9"/>
        </w:rPr>
        <w:t> </w:t>
      </w:r>
      <w:r>
        <w:rPr>
          <w:color w:val="231F20"/>
        </w:rPr>
        <w:t>ought</w:t>
      </w:r>
      <w:r>
        <w:rPr>
          <w:color w:val="231F20"/>
          <w:spacing w:val="-8"/>
        </w:rPr>
        <w:t> </w:t>
      </w:r>
      <w:r>
        <w:rPr>
          <w:color w:val="231F20"/>
          <w:spacing w:val="-7"/>
        </w:rPr>
        <w:t>to </w:t>
      </w:r>
      <w:r>
        <w:rPr>
          <w:color w:val="231F20"/>
        </w:rPr>
        <w:t>form</w:t>
      </w:r>
      <w:r>
        <w:rPr>
          <w:color w:val="231F20"/>
          <w:spacing w:val="-8"/>
        </w:rPr>
        <w:t> </w:t>
      </w:r>
      <w:r>
        <w:rPr>
          <w:color w:val="231F20"/>
        </w:rPr>
        <w:t>a</w:t>
      </w:r>
      <w:r>
        <w:rPr>
          <w:color w:val="231F20"/>
          <w:spacing w:val="-7"/>
        </w:rPr>
        <w:t> </w:t>
      </w:r>
      <w:r>
        <w:rPr>
          <w:color w:val="231F20"/>
        </w:rPr>
        <w:t>great</w:t>
      </w:r>
      <w:r>
        <w:rPr>
          <w:color w:val="231F20"/>
          <w:spacing w:val="-7"/>
        </w:rPr>
        <w:t> </w:t>
      </w:r>
      <w:r>
        <w:rPr>
          <w:color w:val="231F20"/>
        </w:rPr>
        <w:t>part</w:t>
      </w:r>
      <w:r>
        <w:rPr>
          <w:color w:val="231F20"/>
          <w:spacing w:val="-7"/>
        </w:rPr>
        <w:t> </w:t>
      </w:r>
      <w:r>
        <w:rPr>
          <w:color w:val="231F20"/>
        </w:rPr>
        <w:t>in</w:t>
      </w:r>
      <w:r>
        <w:rPr>
          <w:color w:val="231F20"/>
          <w:spacing w:val="-7"/>
        </w:rPr>
        <w:t> </w:t>
      </w:r>
      <w:r>
        <w:rPr>
          <w:color w:val="231F20"/>
        </w:rPr>
        <w:t>how</w:t>
      </w:r>
      <w:r>
        <w:rPr>
          <w:color w:val="231F20"/>
          <w:spacing w:val="-7"/>
        </w:rPr>
        <w:t> </w:t>
      </w:r>
      <w:r>
        <w:rPr>
          <w:color w:val="231F20"/>
          <w:spacing w:val="-3"/>
        </w:rPr>
        <w:t>we</w:t>
      </w:r>
      <w:r>
        <w:rPr>
          <w:color w:val="231F20"/>
          <w:spacing w:val="-8"/>
        </w:rPr>
        <w:t> </w:t>
      </w:r>
      <w:r>
        <w:rPr>
          <w:color w:val="231F20"/>
        </w:rPr>
        <w:t>learn</w:t>
      </w:r>
      <w:r>
        <w:rPr>
          <w:color w:val="231F20"/>
          <w:spacing w:val="-7"/>
        </w:rPr>
        <w:t> </w:t>
      </w:r>
      <w:r>
        <w:rPr>
          <w:color w:val="231F20"/>
        </w:rPr>
        <w:t>to</w:t>
      </w:r>
      <w:r>
        <w:rPr>
          <w:color w:val="231F20"/>
          <w:spacing w:val="-7"/>
        </w:rPr>
        <w:t> </w:t>
      </w:r>
      <w:r>
        <w:rPr>
          <w:color w:val="231F20"/>
        </w:rPr>
        <w:t>love</w:t>
      </w:r>
      <w:r>
        <w:rPr>
          <w:color w:val="231F20"/>
          <w:spacing w:val="-7"/>
        </w:rPr>
        <w:t> </w:t>
      </w:r>
      <w:r>
        <w:rPr>
          <w:color w:val="231F20"/>
        </w:rPr>
        <w:t>each</w:t>
      </w:r>
      <w:r>
        <w:rPr>
          <w:color w:val="231F20"/>
          <w:spacing w:val="-7"/>
        </w:rPr>
        <w:t> </w:t>
      </w:r>
      <w:r>
        <w:rPr>
          <w:color w:val="231F20"/>
        </w:rPr>
        <w:t>other.</w:t>
      </w:r>
      <w:r>
        <w:rPr>
          <w:color w:val="231F20"/>
          <w:spacing w:val="-7"/>
        </w:rPr>
        <w:t> </w:t>
      </w:r>
      <w:r>
        <w:rPr>
          <w:color w:val="231F20"/>
        </w:rPr>
        <w:t>It</w:t>
      </w:r>
      <w:r>
        <w:rPr>
          <w:color w:val="231F20"/>
          <w:spacing w:val="-8"/>
        </w:rPr>
        <w:t> </w:t>
      </w:r>
      <w:r>
        <w:rPr>
          <w:color w:val="231F20"/>
        </w:rPr>
        <w:t>forms</w:t>
      </w:r>
      <w:r>
        <w:rPr>
          <w:color w:val="231F20"/>
          <w:spacing w:val="-7"/>
        </w:rPr>
        <w:t> </w:t>
      </w:r>
      <w:r>
        <w:rPr>
          <w:color w:val="231F20"/>
        </w:rPr>
        <w:t>the</w:t>
      </w:r>
      <w:r>
        <w:rPr>
          <w:color w:val="231F20"/>
          <w:spacing w:val="-7"/>
        </w:rPr>
        <w:t> </w:t>
      </w:r>
      <w:r>
        <w:rPr>
          <w:color w:val="231F20"/>
        </w:rPr>
        <w:t>basis</w:t>
      </w:r>
      <w:r>
        <w:rPr>
          <w:color w:val="231F20"/>
          <w:spacing w:val="-7"/>
        </w:rPr>
        <w:t> </w:t>
      </w:r>
      <w:r>
        <w:rPr>
          <w:color w:val="231F20"/>
        </w:rPr>
        <w:t>of</w:t>
      </w:r>
      <w:r>
        <w:rPr>
          <w:color w:val="231F20"/>
          <w:spacing w:val="-7"/>
        </w:rPr>
        <w:t> </w:t>
      </w:r>
      <w:r>
        <w:rPr>
          <w:color w:val="231F20"/>
        </w:rPr>
        <w:t>much</w:t>
      </w:r>
      <w:r>
        <w:rPr>
          <w:color w:val="231F20"/>
          <w:spacing w:val="-7"/>
        </w:rPr>
        <w:t> of </w:t>
      </w:r>
      <w:r>
        <w:rPr>
          <w:color w:val="231F20"/>
        </w:rPr>
        <w:t>our teaching on life issues such as abortion and euthanasia but also on issues of social concern, and not least on the way we are bound to behave towards each other in all loving relationships.</w:t>
      </w:r>
    </w:p>
    <w:p>
      <w:pPr>
        <w:pStyle w:val="Heading6"/>
        <w:spacing w:line="216" w:lineRule="auto" w:before="149"/>
        <w:ind w:left="1331" w:right="772" w:firstLine="246"/>
      </w:pPr>
      <w:r>
        <w:rPr>
          <w:i/>
          <w:color w:val="231F20"/>
          <w:spacing w:val="-10"/>
        </w:rPr>
        <w:t>We </w:t>
      </w:r>
      <w:r>
        <w:rPr>
          <w:i/>
          <w:color w:val="231F20"/>
        </w:rPr>
        <w:t>love the other person for who they are, not simply for their body.</w:t>
      </w:r>
      <w:r>
        <w:rPr>
          <w:i/>
          <w:color w:val="231F20"/>
          <w:spacing w:val="-4"/>
        </w:rPr>
        <w:t> </w:t>
      </w:r>
      <w:r>
        <w:rPr>
          <w:i/>
          <w:color w:val="231F20"/>
        </w:rPr>
        <w:t>Although</w:t>
      </w:r>
      <w:r>
        <w:rPr>
          <w:i/>
          <w:color w:val="231F20"/>
          <w:spacing w:val="-1"/>
        </w:rPr>
        <w:t> </w:t>
      </w:r>
      <w:r>
        <w:rPr>
          <w:i/>
          <w:color w:val="231F20"/>
          <w:spacing w:val="-5"/>
        </w:rPr>
        <w:t>the</w:t>
      </w:r>
      <w:r>
        <w:rPr>
          <w:color w:val="231F20"/>
        </w:rPr>
        <w:t> body ages, it still expresses that personal identity that ﬁrst won our heart.</w:t>
      </w:r>
      <w:r>
        <w:rPr>
          <w:color w:val="231F20"/>
          <w:spacing w:val="-5"/>
        </w:rPr>
        <w:t> </w:t>
      </w:r>
      <w:r>
        <w:rPr>
          <w:color w:val="231F20"/>
        </w:rPr>
        <w:t>Even if others can no longer see the beauty of that identity, a spouse continues to see</w:t>
      </w:r>
      <w:r>
        <w:rPr>
          <w:color w:val="231F20"/>
          <w:spacing w:val="3"/>
        </w:rPr>
        <w:t> </w:t>
      </w:r>
      <w:r>
        <w:rPr>
          <w:color w:val="231F20"/>
        </w:rPr>
        <w:t>it </w:t>
      </w:r>
      <w:r>
        <w:rPr>
          <w:color w:val="231F20"/>
          <w:spacing w:val="-5"/>
        </w:rPr>
        <w:t>with</w:t>
      </w:r>
      <w:r>
        <w:rPr>
          <w:color w:val="231F20"/>
        </w:rPr>
        <w:t> the eyes of love and so his or her aﬀection does not</w:t>
      </w:r>
      <w:r>
        <w:rPr>
          <w:color w:val="231F20"/>
          <w:spacing w:val="-10"/>
        </w:rPr>
        <w:t> </w:t>
      </w:r>
      <w:r>
        <w:rPr>
          <w:color w:val="231F20"/>
        </w:rPr>
        <w:t>diminish.</w:t>
      </w:r>
    </w:p>
    <w:p>
      <w:pPr>
        <w:pStyle w:val="Heading5"/>
        <w:spacing w:line="354" w:lineRule="exact"/>
        <w:ind w:right="772"/>
        <w:jc w:val="right"/>
      </w:pPr>
      <w:r>
        <w:rPr>
          <w:color w:val="231F20"/>
        </w:rPr>
        <w:t>AL 164</w:t>
      </w:r>
    </w:p>
    <w:p>
      <w:pPr>
        <w:pStyle w:val="Heading5"/>
        <w:spacing w:line="216" w:lineRule="auto" w:before="38"/>
        <w:ind w:left="803" w:right="5561" w:hanging="1"/>
      </w:pPr>
      <w:r>
        <w:rPr/>
        <w:drawing>
          <wp:anchor distT="0" distB="0" distL="0" distR="0" allowOverlap="1" layoutInCell="1" locked="0" behindDoc="0" simplePos="0" relativeHeight="251685888">
            <wp:simplePos x="0" y="0"/>
            <wp:positionH relativeFrom="page">
              <wp:posOffset>4044696</wp:posOffset>
            </wp:positionH>
            <wp:positionV relativeFrom="paragraph">
              <wp:posOffset>82428</wp:posOffset>
            </wp:positionV>
            <wp:extent cx="2789935" cy="2868485"/>
            <wp:effectExtent l="0" t="0" r="0" b="0"/>
            <wp:wrapNone/>
            <wp:docPr id="43" name="image19.jpeg"/>
            <wp:cNvGraphicFramePr>
              <a:graphicFrameLocks noChangeAspect="1"/>
            </wp:cNvGraphicFramePr>
            <a:graphic>
              <a:graphicData uri="http://schemas.openxmlformats.org/drawingml/2006/picture">
                <pic:pic>
                  <pic:nvPicPr>
                    <pic:cNvPr id="44" name="image19.jpeg"/>
                    <pic:cNvPicPr/>
                  </pic:nvPicPr>
                  <pic:blipFill>
                    <a:blip r:embed="rId158" cstate="print"/>
                    <a:stretch>
                      <a:fillRect/>
                    </a:stretch>
                  </pic:blipFill>
                  <pic:spPr>
                    <a:xfrm>
                      <a:off x="0" y="0"/>
                      <a:ext cx="2789935" cy="2868485"/>
                    </a:xfrm>
                    <a:prstGeom prst="rect">
                      <a:avLst/>
                    </a:prstGeom>
                  </pic:spPr>
                </pic:pic>
              </a:graphicData>
            </a:graphic>
          </wp:anchor>
        </w:drawing>
      </w:r>
      <w:r>
        <w:rPr>
          <w:color w:val="231F20"/>
        </w:rPr>
        <w:t>This</w:t>
      </w:r>
      <w:r>
        <w:rPr>
          <w:color w:val="231F20"/>
          <w:spacing w:val="-16"/>
        </w:rPr>
        <w:t> </w:t>
      </w:r>
      <w:r>
        <w:rPr>
          <w:color w:val="231F20"/>
        </w:rPr>
        <w:t>insight</w:t>
      </w:r>
      <w:r>
        <w:rPr>
          <w:color w:val="231F20"/>
          <w:spacing w:val="-15"/>
        </w:rPr>
        <w:t> </w:t>
      </w:r>
      <w:r>
        <w:rPr>
          <w:color w:val="231F20"/>
        </w:rPr>
        <w:t>into</w:t>
      </w:r>
      <w:r>
        <w:rPr>
          <w:color w:val="231F20"/>
          <w:spacing w:val="-16"/>
        </w:rPr>
        <w:t> </w:t>
      </w:r>
      <w:r>
        <w:rPr>
          <w:color w:val="231F20"/>
        </w:rPr>
        <w:t>our</w:t>
      </w:r>
      <w:r>
        <w:rPr>
          <w:color w:val="231F20"/>
          <w:spacing w:val="-15"/>
        </w:rPr>
        <w:t> </w:t>
      </w:r>
      <w:r>
        <w:rPr>
          <w:color w:val="231F20"/>
        </w:rPr>
        <w:t>inner</w:t>
      </w:r>
      <w:r>
        <w:rPr>
          <w:color w:val="231F20"/>
          <w:spacing w:val="-16"/>
        </w:rPr>
        <w:t> </w:t>
      </w:r>
      <w:r>
        <w:rPr>
          <w:color w:val="231F20"/>
        </w:rPr>
        <w:t>dignity</w:t>
      </w:r>
      <w:r>
        <w:rPr>
          <w:color w:val="231F20"/>
          <w:spacing w:val="-15"/>
        </w:rPr>
        <w:t> </w:t>
      </w:r>
      <w:r>
        <w:rPr>
          <w:color w:val="231F20"/>
        </w:rPr>
        <w:t>also</w:t>
      </w:r>
      <w:r>
        <w:rPr>
          <w:color w:val="231F20"/>
          <w:spacing w:val="-15"/>
        </w:rPr>
        <w:t> </w:t>
      </w:r>
      <w:r>
        <w:rPr>
          <w:color w:val="231F20"/>
          <w:spacing w:val="-5"/>
        </w:rPr>
        <w:t>has </w:t>
      </w:r>
      <w:r>
        <w:rPr>
          <w:color w:val="231F20"/>
        </w:rPr>
        <w:t>important implications for how we see ourselves when </w:t>
      </w:r>
      <w:r>
        <w:rPr>
          <w:color w:val="231F20"/>
          <w:spacing w:val="-3"/>
        </w:rPr>
        <w:t>we </w:t>
      </w:r>
      <w:r>
        <w:rPr>
          <w:color w:val="231F20"/>
        </w:rPr>
        <w:t>look in the mirror. </w:t>
      </w:r>
      <w:r>
        <w:rPr>
          <w:color w:val="231F20"/>
          <w:spacing w:val="-16"/>
        </w:rPr>
        <w:t>We </w:t>
      </w:r>
      <w:r>
        <w:rPr>
          <w:color w:val="231F20"/>
        </w:rPr>
        <w:t>can look into the eyes that stare back at</w:t>
      </w:r>
      <w:r>
        <w:rPr>
          <w:color w:val="231F20"/>
          <w:spacing w:val="-41"/>
        </w:rPr>
        <w:t> </w:t>
      </w:r>
      <w:r>
        <w:rPr>
          <w:color w:val="231F20"/>
          <w:spacing w:val="-6"/>
        </w:rPr>
        <w:t>us </w:t>
      </w:r>
      <w:r>
        <w:rPr>
          <w:color w:val="231F20"/>
        </w:rPr>
        <w:t>through</w:t>
      </w:r>
      <w:r>
        <w:rPr>
          <w:color w:val="231F20"/>
          <w:spacing w:val="-21"/>
        </w:rPr>
        <w:t> </w:t>
      </w:r>
      <w:r>
        <w:rPr>
          <w:color w:val="231F20"/>
        </w:rPr>
        <w:t>the</w:t>
      </w:r>
      <w:r>
        <w:rPr>
          <w:color w:val="231F20"/>
          <w:spacing w:val="-21"/>
        </w:rPr>
        <w:t> </w:t>
      </w:r>
      <w:r>
        <w:rPr>
          <w:color w:val="231F20"/>
        </w:rPr>
        <w:t>glass</w:t>
      </w:r>
      <w:r>
        <w:rPr>
          <w:color w:val="231F20"/>
          <w:spacing w:val="-20"/>
        </w:rPr>
        <w:t> </w:t>
      </w:r>
      <w:r>
        <w:rPr>
          <w:color w:val="231F20"/>
        </w:rPr>
        <w:t>and</w:t>
      </w:r>
      <w:r>
        <w:rPr>
          <w:color w:val="231F20"/>
          <w:spacing w:val="-21"/>
        </w:rPr>
        <w:t> </w:t>
      </w:r>
      <w:r>
        <w:rPr>
          <w:color w:val="231F20"/>
        </w:rPr>
        <w:t>say</w:t>
      </w:r>
      <w:r>
        <w:rPr>
          <w:color w:val="231F20"/>
          <w:spacing w:val="-21"/>
        </w:rPr>
        <w:t> </w:t>
      </w:r>
      <w:r>
        <w:rPr>
          <w:color w:val="231F20"/>
        </w:rPr>
        <w:t>to</w:t>
      </w:r>
      <w:r>
        <w:rPr>
          <w:color w:val="231F20"/>
          <w:spacing w:val="-20"/>
        </w:rPr>
        <w:t> </w:t>
      </w:r>
      <w:r>
        <w:rPr>
          <w:color w:val="231F20"/>
        </w:rPr>
        <w:t>our</w:t>
      </w:r>
      <w:r>
        <w:rPr>
          <w:color w:val="231F20"/>
          <w:spacing w:val="-21"/>
        </w:rPr>
        <w:t> </w:t>
      </w:r>
      <w:r>
        <w:rPr>
          <w:color w:val="231F20"/>
        </w:rPr>
        <w:t>reﬂection, 'Despite what you think of yourself,</w:t>
      </w:r>
      <w:r>
        <w:rPr>
          <w:color w:val="231F20"/>
          <w:spacing w:val="-51"/>
        </w:rPr>
        <w:t> </w:t>
      </w:r>
      <w:r>
        <w:rPr>
          <w:color w:val="231F20"/>
          <w:spacing w:val="-4"/>
        </w:rPr>
        <w:t>when </w:t>
      </w:r>
      <w:r>
        <w:rPr>
          <w:color w:val="231F20"/>
        </w:rPr>
        <w:t>God looks at you, He loves you, He delights in you because He sees His own image in</w:t>
      </w:r>
      <w:r>
        <w:rPr>
          <w:color w:val="231F20"/>
          <w:spacing w:val="-1"/>
        </w:rPr>
        <w:t> </w:t>
      </w:r>
      <w:r>
        <w:rPr>
          <w:color w:val="231F20"/>
        </w:rPr>
        <w:t>yours.'</w:t>
      </w:r>
    </w:p>
    <w:p>
      <w:pPr>
        <w:pStyle w:val="Heading5"/>
        <w:spacing w:before="325"/>
        <w:ind w:left="804"/>
      </w:pPr>
      <w:r>
        <w:rPr>
          <w:color w:val="231F20"/>
        </w:rPr>
        <w:t>It's an uplifting and beautiful thought.</w:t>
      </w:r>
    </w:p>
    <w:p>
      <w:pPr>
        <w:pStyle w:val="BodyText"/>
        <w:spacing w:before="7"/>
        <w:rPr>
          <w:rFonts w:ascii="Palatino Linotype"/>
          <w:sz w:val="42"/>
        </w:rPr>
      </w:pPr>
    </w:p>
    <w:p>
      <w:pPr>
        <w:spacing w:before="0"/>
        <w:ind w:left="2697" w:right="0" w:firstLine="0"/>
        <w:jc w:val="left"/>
        <w:rPr>
          <w:rFonts w:ascii="Palatino Linotype" w:hAnsi="Palatino Linotype"/>
          <w:b/>
          <w:sz w:val="20"/>
        </w:rPr>
      </w:pPr>
      <w:r>
        <w:rPr>
          <w:rFonts w:ascii="Palatino Linotype" w:hAnsi="Palatino Linotype"/>
          <w:b/>
          <w:color w:val="231F20"/>
          <w:sz w:val="20"/>
        </w:rPr>
        <w:t>Raphael’s Madonna, Sistine Chapel</w:t>
      </w:r>
    </w:p>
    <w:p>
      <w:pPr>
        <w:spacing w:after="0"/>
        <w:jc w:val="left"/>
        <w:rPr>
          <w:rFonts w:ascii="Palatino Linotype" w:hAnsi="Palatino Linotype"/>
          <w:sz w:val="20"/>
        </w:rPr>
        <w:sectPr>
          <w:headerReference w:type="default" r:id="rId156"/>
          <w:footerReference w:type="default" r:id="rId157"/>
          <w:pgSz w:w="11910" w:h="16840"/>
          <w:pgMar w:header="0" w:footer="1136" w:top="600" w:bottom="1320" w:left="160" w:right="220"/>
          <w:pgNumType w:start="18"/>
        </w:sectPr>
      </w:pPr>
    </w:p>
    <w:p>
      <w:pPr>
        <w:spacing w:line="216" w:lineRule="auto" w:before="141"/>
        <w:ind w:left="743" w:right="-7" w:firstLine="0"/>
        <w:jc w:val="left"/>
        <w:rPr>
          <w:rFonts w:ascii="Palatino Linotype" w:hAnsi="Palatino Linotype"/>
          <w:b/>
          <w:i/>
          <w:sz w:val="48"/>
        </w:rPr>
      </w:pPr>
      <w:r>
        <w:rPr>
          <w:rFonts w:ascii="Palatino Linotype" w:hAnsi="Palatino Linotype"/>
          <w:b/>
          <w:i/>
          <w:color w:val="008790"/>
          <w:sz w:val="48"/>
        </w:rPr>
        <w:t>“... our bodies </w:t>
      </w:r>
      <w:r>
        <w:rPr>
          <w:rFonts w:ascii="Palatino Linotype" w:hAnsi="Palatino Linotype"/>
          <w:b/>
          <w:i/>
          <w:color w:val="008790"/>
          <w:spacing w:val="-3"/>
          <w:sz w:val="48"/>
        </w:rPr>
        <w:t>have </w:t>
      </w:r>
      <w:r>
        <w:rPr>
          <w:rFonts w:ascii="Palatino Linotype" w:hAnsi="Palatino Linotype"/>
          <w:b/>
          <w:i/>
          <w:color w:val="008790"/>
          <w:sz w:val="48"/>
        </w:rPr>
        <w:t>been given to us to communicate love, not to take refuge from love, where </w:t>
      </w:r>
      <w:r>
        <w:rPr>
          <w:rFonts w:ascii="Palatino Linotype" w:hAnsi="Palatino Linotype"/>
          <w:b/>
          <w:i/>
          <w:color w:val="008790"/>
          <w:spacing w:val="-14"/>
          <w:sz w:val="48"/>
        </w:rPr>
        <w:t>we </w:t>
      </w:r>
      <w:r>
        <w:rPr>
          <w:rFonts w:ascii="Palatino Linotype" w:hAnsi="Palatino Linotype"/>
          <w:b/>
          <w:i/>
          <w:color w:val="008790"/>
          <w:sz w:val="48"/>
        </w:rPr>
        <w:t>take refuge from the Lord who loves us</w:t>
      </w:r>
    </w:p>
    <w:p>
      <w:pPr>
        <w:pStyle w:val="Heading5"/>
        <w:spacing w:line="216" w:lineRule="auto" w:before="104"/>
        <w:ind w:left="187" w:right="767"/>
      </w:pPr>
      <w:r>
        <w:rPr/>
        <w:br w:type="column"/>
      </w:r>
      <w:r>
        <w:rPr>
          <w:color w:val="231F20"/>
        </w:rPr>
        <w:t>From</w:t>
      </w:r>
      <w:r>
        <w:rPr>
          <w:color w:val="231F20"/>
          <w:spacing w:val="-19"/>
        </w:rPr>
        <w:t> </w:t>
      </w:r>
      <w:r>
        <w:rPr>
          <w:color w:val="231F20"/>
        </w:rPr>
        <w:t>this</w:t>
      </w:r>
      <w:r>
        <w:rPr>
          <w:color w:val="231F20"/>
          <w:spacing w:val="-18"/>
        </w:rPr>
        <w:t> </w:t>
      </w:r>
      <w:r>
        <w:rPr>
          <w:color w:val="231F20"/>
        </w:rPr>
        <w:t>ﬂows</w:t>
      </w:r>
      <w:r>
        <w:rPr>
          <w:color w:val="231F20"/>
          <w:spacing w:val="-18"/>
        </w:rPr>
        <w:t> </w:t>
      </w:r>
      <w:r>
        <w:rPr>
          <w:color w:val="231F20"/>
        </w:rPr>
        <w:t>all</w:t>
      </w:r>
      <w:r>
        <w:rPr>
          <w:color w:val="231F20"/>
          <w:spacing w:val="-18"/>
        </w:rPr>
        <w:t> </w:t>
      </w:r>
      <w:r>
        <w:rPr>
          <w:color w:val="231F20"/>
        </w:rPr>
        <w:t>the</w:t>
      </w:r>
      <w:r>
        <w:rPr>
          <w:color w:val="231F20"/>
          <w:spacing w:val="-18"/>
        </w:rPr>
        <w:t> </w:t>
      </w:r>
      <w:r>
        <w:rPr>
          <w:color w:val="231F20"/>
        </w:rPr>
        <w:t>teaching</w:t>
      </w:r>
      <w:r>
        <w:rPr>
          <w:color w:val="231F20"/>
          <w:spacing w:val="-19"/>
        </w:rPr>
        <w:t> </w:t>
      </w:r>
      <w:r>
        <w:rPr>
          <w:color w:val="231F20"/>
        </w:rPr>
        <w:t>of</w:t>
      </w:r>
      <w:r>
        <w:rPr>
          <w:color w:val="231F20"/>
          <w:spacing w:val="-18"/>
        </w:rPr>
        <w:t> </w:t>
      </w:r>
      <w:r>
        <w:rPr>
          <w:color w:val="231F20"/>
        </w:rPr>
        <w:t>the</w:t>
      </w:r>
      <w:r>
        <w:rPr>
          <w:color w:val="231F20"/>
          <w:spacing w:val="-18"/>
        </w:rPr>
        <w:t> </w:t>
      </w:r>
      <w:r>
        <w:rPr>
          <w:color w:val="231F20"/>
          <w:spacing w:val="-4"/>
        </w:rPr>
        <w:t>Church </w:t>
      </w:r>
      <w:r>
        <w:rPr>
          <w:color w:val="231F20"/>
        </w:rPr>
        <w:t>which sometimes seems so hard to accept when</w:t>
      </w:r>
      <w:r>
        <w:rPr>
          <w:color w:val="231F20"/>
          <w:spacing w:val="-16"/>
        </w:rPr>
        <w:t> </w:t>
      </w:r>
      <w:r>
        <w:rPr>
          <w:color w:val="231F20"/>
          <w:spacing w:val="-3"/>
        </w:rPr>
        <w:t>we</w:t>
      </w:r>
      <w:r>
        <w:rPr>
          <w:color w:val="231F20"/>
          <w:spacing w:val="-15"/>
        </w:rPr>
        <w:t> </w:t>
      </w:r>
      <w:r>
        <w:rPr>
          <w:color w:val="231F20"/>
        </w:rPr>
        <w:t>think</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human</w:t>
      </w:r>
      <w:r>
        <w:rPr>
          <w:color w:val="231F20"/>
          <w:spacing w:val="-15"/>
        </w:rPr>
        <w:t> </w:t>
      </w:r>
      <w:r>
        <w:rPr>
          <w:color w:val="231F20"/>
        </w:rPr>
        <w:t>body</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vessel of pleasure: masturbation, drug and alcohol abuse,</w:t>
      </w:r>
      <w:r>
        <w:rPr>
          <w:color w:val="231F20"/>
          <w:spacing w:val="-18"/>
        </w:rPr>
        <w:t> </w:t>
      </w:r>
      <w:r>
        <w:rPr>
          <w:color w:val="231F20"/>
        </w:rPr>
        <w:t>trivialising</w:t>
      </w:r>
      <w:r>
        <w:rPr>
          <w:color w:val="231F20"/>
          <w:spacing w:val="-17"/>
        </w:rPr>
        <w:t> </w:t>
      </w:r>
      <w:r>
        <w:rPr>
          <w:color w:val="231F20"/>
        </w:rPr>
        <w:t>our</w:t>
      </w:r>
      <w:r>
        <w:rPr>
          <w:color w:val="231F20"/>
          <w:spacing w:val="-17"/>
        </w:rPr>
        <w:t> </w:t>
      </w:r>
      <w:r>
        <w:rPr>
          <w:color w:val="231F20"/>
        </w:rPr>
        <w:t>bodies</w:t>
      </w:r>
      <w:r>
        <w:rPr>
          <w:color w:val="231F20"/>
          <w:spacing w:val="-17"/>
        </w:rPr>
        <w:t> </w:t>
      </w:r>
      <w:r>
        <w:rPr>
          <w:color w:val="231F20"/>
        </w:rPr>
        <w:t>and</w:t>
      </w:r>
      <w:r>
        <w:rPr>
          <w:color w:val="231F20"/>
          <w:spacing w:val="-18"/>
        </w:rPr>
        <w:t> </w:t>
      </w:r>
      <w:r>
        <w:rPr>
          <w:color w:val="231F20"/>
        </w:rPr>
        <w:t>our</w:t>
      </w:r>
      <w:r>
        <w:rPr>
          <w:color w:val="231F20"/>
          <w:spacing w:val="-17"/>
        </w:rPr>
        <w:t> </w:t>
      </w:r>
      <w:r>
        <w:rPr>
          <w:color w:val="231F20"/>
        </w:rPr>
        <w:t>dignity on social media: all of these and others are habits which intrinsically damage our real, supernatural dignity, and prevent us from seeing that our bodies have been given to </w:t>
      </w:r>
      <w:r>
        <w:rPr>
          <w:color w:val="231F20"/>
          <w:spacing w:val="-8"/>
        </w:rPr>
        <w:t>us </w:t>
      </w:r>
      <w:r>
        <w:rPr>
          <w:color w:val="231F20"/>
        </w:rPr>
        <w:t>to</w:t>
      </w:r>
      <w:r>
        <w:rPr>
          <w:color w:val="231F20"/>
          <w:spacing w:val="-11"/>
        </w:rPr>
        <w:t> </w:t>
      </w:r>
      <w:r>
        <w:rPr>
          <w:color w:val="231F20"/>
        </w:rPr>
        <w:t>communicate</w:t>
      </w:r>
      <w:r>
        <w:rPr>
          <w:color w:val="231F20"/>
          <w:spacing w:val="-10"/>
        </w:rPr>
        <w:t> </w:t>
      </w:r>
      <w:r>
        <w:rPr>
          <w:color w:val="231F20"/>
        </w:rPr>
        <w:t>love,</w:t>
      </w:r>
      <w:r>
        <w:rPr>
          <w:color w:val="231F20"/>
          <w:spacing w:val="-10"/>
        </w:rPr>
        <w:t> </w:t>
      </w:r>
      <w:r>
        <w:rPr>
          <w:color w:val="231F20"/>
        </w:rPr>
        <w:t>not</w:t>
      </w:r>
      <w:r>
        <w:rPr>
          <w:color w:val="231F20"/>
          <w:spacing w:val="-10"/>
        </w:rPr>
        <w:t> </w:t>
      </w:r>
      <w:r>
        <w:rPr>
          <w:color w:val="231F20"/>
        </w:rPr>
        <w:t>to</w:t>
      </w:r>
      <w:r>
        <w:rPr>
          <w:color w:val="231F20"/>
          <w:spacing w:val="-10"/>
        </w:rPr>
        <w:t> </w:t>
      </w:r>
      <w:r>
        <w:rPr>
          <w:color w:val="231F20"/>
        </w:rPr>
        <w:t>take</w:t>
      </w:r>
      <w:r>
        <w:rPr>
          <w:color w:val="231F20"/>
          <w:spacing w:val="-10"/>
        </w:rPr>
        <w:t> </w:t>
      </w:r>
      <w:r>
        <w:rPr>
          <w:color w:val="231F20"/>
        </w:rPr>
        <w:t>refuge</w:t>
      </w:r>
      <w:r>
        <w:rPr>
          <w:color w:val="231F20"/>
          <w:spacing w:val="-11"/>
        </w:rPr>
        <w:t> </w:t>
      </w:r>
      <w:r>
        <w:rPr>
          <w:color w:val="231F20"/>
          <w:spacing w:val="-4"/>
        </w:rPr>
        <w:t>from </w:t>
      </w:r>
      <w:r>
        <w:rPr>
          <w:color w:val="231F20"/>
        </w:rPr>
        <w:t>love, and in doing so take refuge from the Lord who loves us so</w:t>
      </w:r>
      <w:r>
        <w:rPr>
          <w:color w:val="231F20"/>
          <w:spacing w:val="-1"/>
        </w:rPr>
        <w:t> </w:t>
      </w:r>
      <w:r>
        <w:rPr>
          <w:color w:val="231F20"/>
        </w:rPr>
        <w:t>deeply:</w:t>
      </w:r>
    </w:p>
    <w:p>
      <w:pPr>
        <w:spacing w:after="0" w:line="216" w:lineRule="auto"/>
        <w:sectPr>
          <w:headerReference w:type="default" r:id="rId159"/>
          <w:footerReference w:type="default" r:id="rId160"/>
          <w:pgSz w:w="11910" w:h="16840"/>
          <w:pgMar w:header="0" w:footer="1087" w:top="1500" w:bottom="1280" w:left="160" w:right="220"/>
          <w:pgNumType w:start="19"/>
          <w:cols w:num="2" w:equalWidth="0">
            <w:col w:w="5021" w:space="40"/>
            <w:col w:w="6469"/>
          </w:cols>
        </w:sectPr>
      </w:pPr>
    </w:p>
    <w:p>
      <w:pPr>
        <w:spacing w:line="615" w:lineRule="exact" w:before="0"/>
        <w:ind w:left="743" w:right="0" w:firstLine="0"/>
        <w:jc w:val="left"/>
        <w:rPr>
          <w:rFonts w:ascii="Palatino Linotype" w:hAnsi="Palatino Linotype"/>
          <w:b/>
          <w:i/>
          <w:sz w:val="48"/>
        </w:rPr>
      </w:pPr>
      <w:r>
        <w:rPr>
          <w:rFonts w:ascii="Palatino Linotype" w:hAnsi="Palatino Linotype"/>
          <w:b/>
          <w:i/>
          <w:color w:val="008790"/>
          <w:sz w:val="48"/>
        </w:rPr>
        <w:t>so deeply...”</w:t>
      </w:r>
    </w:p>
    <w:p>
      <w:pPr>
        <w:pStyle w:val="Heading6"/>
        <w:spacing w:line="216" w:lineRule="auto" w:before="224"/>
        <w:ind w:left="1494" w:right="480" w:hanging="827"/>
        <w:jc w:val="left"/>
      </w:pPr>
      <w:r>
        <w:rPr>
          <w:i w:val="0"/>
        </w:rPr>
        <w:br w:type="column"/>
      </w:r>
      <w:r>
        <w:rPr>
          <w:i/>
          <w:color w:val="231F20"/>
        </w:rPr>
        <w:t>Walk in love, as Christ loved us and gave Himself up for us. </w:t>
      </w:r>
      <w:r>
        <w:rPr>
          <w:color w:val="231F20"/>
        </w:rPr>
        <w:t>Be subject to one another out of reverence for Christ.</w:t>
      </w:r>
    </w:p>
    <w:p>
      <w:pPr>
        <w:spacing w:after="0" w:line="216" w:lineRule="auto"/>
        <w:jc w:val="left"/>
        <w:sectPr>
          <w:type w:val="continuous"/>
          <w:pgSz w:w="11910" w:h="16840"/>
          <w:pgMar w:top="1320" w:bottom="1640" w:left="160" w:right="220"/>
          <w:cols w:num="2" w:equalWidth="0">
            <w:col w:w="3331" w:space="40"/>
            <w:col w:w="8159"/>
          </w:cols>
        </w:sectPr>
      </w:pPr>
    </w:p>
    <w:p>
      <w:pPr>
        <w:pStyle w:val="Heading6"/>
        <w:spacing w:line="216" w:lineRule="auto" w:before="3"/>
        <w:ind w:left="1157" w:right="767" w:firstLine="292"/>
      </w:pPr>
      <w:r>
        <w:rPr>
          <w:i/>
          <w:color w:val="231F20"/>
        </w:rPr>
        <w:t>He who loves his wife loves himself. For no man ever hates his own ﬂesh,</w:t>
      </w:r>
      <w:r>
        <w:rPr>
          <w:i/>
          <w:color w:val="231F20"/>
          <w:spacing w:val="-11"/>
        </w:rPr>
        <w:t> </w:t>
      </w:r>
      <w:r>
        <w:rPr>
          <w:i/>
          <w:color w:val="231F20"/>
        </w:rPr>
        <w:t>but</w:t>
      </w:r>
      <w:r>
        <w:rPr>
          <w:i/>
          <w:color w:val="231F20"/>
          <w:spacing w:val="-1"/>
        </w:rPr>
        <w:t> </w:t>
      </w:r>
      <w:r>
        <w:rPr>
          <w:i/>
          <w:color w:val="231F20"/>
          <w:spacing w:val="-4"/>
        </w:rPr>
        <w:t>nour-</w:t>
      </w:r>
      <w:r>
        <w:rPr>
          <w:color w:val="231F20"/>
        </w:rPr>
        <w:t> ishes and cherishes it, as Christ does the church, because </w:t>
      </w:r>
      <w:r>
        <w:rPr>
          <w:color w:val="231F20"/>
          <w:spacing w:val="-3"/>
        </w:rPr>
        <w:t>we </w:t>
      </w:r>
      <w:r>
        <w:rPr>
          <w:color w:val="231F20"/>
        </w:rPr>
        <w:t>are members of His</w:t>
      </w:r>
      <w:r>
        <w:rPr>
          <w:color w:val="231F20"/>
          <w:spacing w:val="7"/>
        </w:rPr>
        <w:t> </w:t>
      </w:r>
      <w:r>
        <w:rPr>
          <w:color w:val="231F20"/>
          <w:spacing w:val="-4"/>
        </w:rPr>
        <w:t>body.</w:t>
      </w:r>
    </w:p>
    <w:p>
      <w:pPr>
        <w:pStyle w:val="Heading5"/>
        <w:spacing w:line="351" w:lineRule="exact"/>
        <w:ind w:right="767"/>
        <w:jc w:val="right"/>
      </w:pPr>
      <w:r>
        <w:rPr>
          <w:color w:val="231F20"/>
        </w:rPr>
        <w:t>Ephesians 5:2.21.28-31</w:t>
      </w:r>
    </w:p>
    <w:p>
      <w:pPr>
        <w:pStyle w:val="Heading5"/>
        <w:spacing w:line="216" w:lineRule="auto" w:before="133"/>
        <w:ind w:left="788" w:right="770"/>
      </w:pPr>
      <w:r>
        <w:rPr>
          <w:color w:val="231F20"/>
        </w:rPr>
        <w:t>Lastly, ﬂowing from this insight that the body has innate dignity, there are implications which inform the Church’s teaching on sexual intercourse, whether in</w:t>
      </w:r>
      <w:r>
        <w:rPr>
          <w:color w:val="231F20"/>
          <w:spacing w:val="-21"/>
        </w:rPr>
        <w:t> </w:t>
      </w:r>
      <w:r>
        <w:rPr>
          <w:color w:val="231F20"/>
        </w:rPr>
        <w:t>marriage</w:t>
      </w:r>
      <w:r>
        <w:rPr>
          <w:color w:val="231F20"/>
          <w:spacing w:val="-21"/>
        </w:rPr>
        <w:t> </w:t>
      </w:r>
      <w:r>
        <w:rPr>
          <w:color w:val="231F20"/>
        </w:rPr>
        <w:t>or</w:t>
      </w:r>
      <w:r>
        <w:rPr>
          <w:color w:val="231F20"/>
          <w:spacing w:val="-20"/>
        </w:rPr>
        <w:t> </w:t>
      </w:r>
      <w:r>
        <w:rPr>
          <w:color w:val="231F20"/>
        </w:rPr>
        <w:t>outside</w:t>
      </w:r>
      <w:r>
        <w:rPr>
          <w:color w:val="231F20"/>
          <w:spacing w:val="-21"/>
        </w:rPr>
        <w:t> </w:t>
      </w:r>
      <w:r>
        <w:rPr>
          <w:color w:val="231F20"/>
        </w:rPr>
        <w:t>of</w:t>
      </w:r>
      <w:r>
        <w:rPr>
          <w:color w:val="231F20"/>
          <w:spacing w:val="-20"/>
        </w:rPr>
        <w:t> </w:t>
      </w:r>
      <w:r>
        <w:rPr>
          <w:color w:val="231F20"/>
        </w:rPr>
        <w:t>marriage.</w:t>
      </w:r>
      <w:r>
        <w:rPr>
          <w:color w:val="231F20"/>
          <w:spacing w:val="-21"/>
        </w:rPr>
        <w:t> </w:t>
      </w:r>
      <w:r>
        <w:rPr>
          <w:color w:val="231F20"/>
        </w:rPr>
        <w:t>For</w:t>
      </w:r>
      <w:r>
        <w:rPr>
          <w:color w:val="231F20"/>
          <w:spacing w:val="-20"/>
        </w:rPr>
        <w:t> </w:t>
      </w:r>
      <w:r>
        <w:rPr>
          <w:color w:val="231F20"/>
        </w:rPr>
        <w:t>a</w:t>
      </w:r>
      <w:r>
        <w:rPr>
          <w:color w:val="231F20"/>
          <w:spacing w:val="-21"/>
        </w:rPr>
        <w:t> </w:t>
      </w:r>
      <w:r>
        <w:rPr>
          <w:color w:val="231F20"/>
        </w:rPr>
        <w:t>married</w:t>
      </w:r>
      <w:r>
        <w:rPr>
          <w:color w:val="231F20"/>
          <w:spacing w:val="-21"/>
        </w:rPr>
        <w:t> </w:t>
      </w:r>
      <w:r>
        <w:rPr>
          <w:color w:val="231F20"/>
        </w:rPr>
        <w:t>heterosexual</w:t>
      </w:r>
      <w:r>
        <w:rPr>
          <w:color w:val="231F20"/>
          <w:spacing w:val="-20"/>
        </w:rPr>
        <w:t> </w:t>
      </w:r>
      <w:r>
        <w:rPr>
          <w:color w:val="231F20"/>
        </w:rPr>
        <w:t>couple,</w:t>
      </w:r>
      <w:r>
        <w:rPr>
          <w:color w:val="231F20"/>
          <w:spacing w:val="-21"/>
        </w:rPr>
        <w:t> </w:t>
      </w:r>
      <w:r>
        <w:rPr>
          <w:color w:val="231F20"/>
        </w:rPr>
        <w:t>the</w:t>
      </w:r>
      <w:r>
        <w:rPr>
          <w:color w:val="231F20"/>
          <w:spacing w:val="-20"/>
        </w:rPr>
        <w:t> </w:t>
      </w:r>
      <w:r>
        <w:rPr>
          <w:color w:val="231F20"/>
        </w:rPr>
        <w:t>Church </w:t>
      </w:r>
      <w:r>
        <w:rPr>
          <w:color w:val="231F20"/>
          <w:spacing w:val="-3"/>
        </w:rPr>
        <w:t>teaches</w:t>
      </w:r>
      <w:r>
        <w:rPr>
          <w:color w:val="231F20"/>
          <w:spacing w:val="-12"/>
        </w:rPr>
        <w:t> </w:t>
      </w:r>
      <w:r>
        <w:rPr>
          <w:color w:val="231F20"/>
          <w:spacing w:val="-3"/>
        </w:rPr>
        <w:t>that</w:t>
      </w:r>
      <w:r>
        <w:rPr>
          <w:color w:val="231F20"/>
          <w:spacing w:val="-12"/>
        </w:rPr>
        <w:t> </w:t>
      </w:r>
      <w:r>
        <w:rPr>
          <w:color w:val="231F20"/>
        </w:rPr>
        <w:t>the</w:t>
      </w:r>
      <w:r>
        <w:rPr>
          <w:color w:val="231F20"/>
          <w:spacing w:val="-12"/>
        </w:rPr>
        <w:t> </w:t>
      </w:r>
      <w:r>
        <w:rPr>
          <w:color w:val="231F20"/>
          <w:spacing w:val="-3"/>
        </w:rPr>
        <w:t>sexual</w:t>
      </w:r>
      <w:r>
        <w:rPr>
          <w:color w:val="231F20"/>
          <w:spacing w:val="-12"/>
        </w:rPr>
        <w:t> </w:t>
      </w:r>
      <w:r>
        <w:rPr>
          <w:color w:val="231F20"/>
          <w:spacing w:val="-3"/>
        </w:rPr>
        <w:t>expression</w:t>
      </w:r>
      <w:r>
        <w:rPr>
          <w:color w:val="231F20"/>
          <w:spacing w:val="-11"/>
        </w:rPr>
        <w:t> </w:t>
      </w:r>
      <w:r>
        <w:rPr>
          <w:color w:val="231F20"/>
        </w:rPr>
        <w:t>of</w:t>
      </w:r>
      <w:r>
        <w:rPr>
          <w:color w:val="231F20"/>
          <w:spacing w:val="-12"/>
        </w:rPr>
        <w:t> </w:t>
      </w:r>
      <w:r>
        <w:rPr>
          <w:color w:val="231F20"/>
          <w:spacing w:val="-4"/>
        </w:rPr>
        <w:t>love</w:t>
      </w:r>
      <w:r>
        <w:rPr>
          <w:color w:val="231F20"/>
          <w:spacing w:val="-12"/>
        </w:rPr>
        <w:t> </w:t>
      </w:r>
      <w:r>
        <w:rPr>
          <w:color w:val="231F20"/>
        </w:rPr>
        <w:t>is</w:t>
      </w:r>
      <w:r>
        <w:rPr>
          <w:color w:val="231F20"/>
          <w:spacing w:val="-12"/>
        </w:rPr>
        <w:t> </w:t>
      </w:r>
      <w:r>
        <w:rPr>
          <w:color w:val="231F20"/>
        </w:rPr>
        <w:t>a</w:t>
      </w:r>
      <w:r>
        <w:rPr>
          <w:color w:val="231F20"/>
          <w:spacing w:val="-12"/>
        </w:rPr>
        <w:t> </w:t>
      </w:r>
      <w:r>
        <w:rPr>
          <w:color w:val="231F20"/>
          <w:spacing w:val="-3"/>
        </w:rPr>
        <w:t>precious,</w:t>
      </w:r>
      <w:r>
        <w:rPr>
          <w:color w:val="231F20"/>
          <w:spacing w:val="-11"/>
        </w:rPr>
        <w:t> </w:t>
      </w:r>
      <w:r>
        <w:rPr>
          <w:color w:val="231F20"/>
          <w:spacing w:val="-4"/>
        </w:rPr>
        <w:t>God-given</w:t>
      </w:r>
      <w:r>
        <w:rPr>
          <w:color w:val="231F20"/>
          <w:spacing w:val="-12"/>
        </w:rPr>
        <w:t> </w:t>
      </w:r>
      <w:r>
        <w:rPr>
          <w:color w:val="231F20"/>
          <w:spacing w:val="-3"/>
        </w:rPr>
        <w:t>means</w:t>
      </w:r>
      <w:r>
        <w:rPr>
          <w:color w:val="231F20"/>
          <w:spacing w:val="-12"/>
        </w:rPr>
        <w:t> </w:t>
      </w:r>
      <w:r>
        <w:rPr>
          <w:color w:val="231F20"/>
        </w:rPr>
        <w:t>by</w:t>
      </w:r>
      <w:r>
        <w:rPr>
          <w:color w:val="231F20"/>
          <w:spacing w:val="-12"/>
        </w:rPr>
        <w:t> </w:t>
      </w:r>
      <w:r>
        <w:rPr>
          <w:color w:val="231F20"/>
          <w:spacing w:val="-3"/>
        </w:rPr>
        <w:t>which </w:t>
      </w:r>
      <w:r>
        <w:rPr>
          <w:color w:val="231F20"/>
        </w:rPr>
        <w:t>the spouses oﬀer themselves to each other. God is always in the picture, wishing to bless the union of the married couple with His divine favour.</w:t>
      </w:r>
    </w:p>
    <w:p>
      <w:pPr>
        <w:pStyle w:val="BodyText"/>
        <w:spacing w:before="13"/>
        <w:rPr>
          <w:rFonts w:ascii="Palatino Linotype"/>
          <w:sz w:val="25"/>
        </w:rPr>
      </w:pPr>
    </w:p>
    <w:p>
      <w:pPr>
        <w:pStyle w:val="Heading5"/>
        <w:spacing w:line="216" w:lineRule="auto"/>
        <w:ind w:left="788" w:right="770"/>
      </w:pPr>
      <w:r>
        <w:rPr>
          <w:color w:val="231F20"/>
        </w:rPr>
        <w:t>However, if the couple use sexual intercourse to express something less noble, then by degrees they fall away from the will of God. For this reason the Church considers</w:t>
      </w:r>
      <w:r>
        <w:rPr>
          <w:color w:val="231F20"/>
          <w:spacing w:val="-24"/>
        </w:rPr>
        <w:t> </w:t>
      </w:r>
      <w:r>
        <w:rPr>
          <w:color w:val="231F20"/>
        </w:rPr>
        <w:t>sinful</w:t>
      </w:r>
      <w:r>
        <w:rPr>
          <w:color w:val="231F20"/>
          <w:spacing w:val="-23"/>
        </w:rPr>
        <w:t> </w:t>
      </w:r>
      <w:r>
        <w:rPr>
          <w:color w:val="231F20"/>
        </w:rPr>
        <w:t>those</w:t>
      </w:r>
      <w:r>
        <w:rPr>
          <w:color w:val="231F20"/>
          <w:spacing w:val="-23"/>
        </w:rPr>
        <w:t> </w:t>
      </w:r>
      <w:r>
        <w:rPr>
          <w:color w:val="231F20"/>
        </w:rPr>
        <w:t>who</w:t>
      </w:r>
      <w:r>
        <w:rPr>
          <w:color w:val="231F20"/>
          <w:spacing w:val="-24"/>
        </w:rPr>
        <w:t> </w:t>
      </w:r>
      <w:r>
        <w:rPr>
          <w:color w:val="231F20"/>
        </w:rPr>
        <w:t>within</w:t>
      </w:r>
      <w:r>
        <w:rPr>
          <w:color w:val="231F20"/>
          <w:spacing w:val="-23"/>
        </w:rPr>
        <w:t> </w:t>
      </w:r>
      <w:r>
        <w:rPr>
          <w:color w:val="231F20"/>
        </w:rPr>
        <w:t>marriage</w:t>
      </w:r>
      <w:r>
        <w:rPr>
          <w:color w:val="231F20"/>
          <w:spacing w:val="-23"/>
        </w:rPr>
        <w:t> </w:t>
      </w:r>
      <w:r>
        <w:rPr>
          <w:color w:val="231F20"/>
        </w:rPr>
        <w:t>dishonour</w:t>
      </w:r>
      <w:r>
        <w:rPr>
          <w:color w:val="231F20"/>
          <w:spacing w:val="-24"/>
        </w:rPr>
        <w:t> </w:t>
      </w:r>
      <w:r>
        <w:rPr>
          <w:color w:val="231F20"/>
        </w:rPr>
        <w:t>their</w:t>
      </w:r>
      <w:r>
        <w:rPr>
          <w:color w:val="231F20"/>
          <w:spacing w:val="-23"/>
        </w:rPr>
        <w:t> </w:t>
      </w:r>
      <w:r>
        <w:rPr>
          <w:color w:val="231F20"/>
        </w:rPr>
        <w:t>spouses</w:t>
      </w:r>
      <w:r>
        <w:rPr>
          <w:color w:val="231F20"/>
          <w:spacing w:val="-23"/>
        </w:rPr>
        <w:t> </w:t>
      </w:r>
      <w:r>
        <w:rPr>
          <w:color w:val="231F20"/>
        </w:rPr>
        <w:t>by</w:t>
      </w:r>
      <w:r>
        <w:rPr>
          <w:color w:val="231F20"/>
          <w:spacing w:val="-23"/>
        </w:rPr>
        <w:t> </w:t>
      </w:r>
      <w:r>
        <w:rPr>
          <w:color w:val="231F20"/>
        </w:rPr>
        <w:t>using</w:t>
      </w:r>
      <w:r>
        <w:rPr>
          <w:color w:val="231F20"/>
          <w:spacing w:val="-24"/>
        </w:rPr>
        <w:t> </w:t>
      </w:r>
      <w:r>
        <w:rPr>
          <w:color w:val="231F20"/>
        </w:rPr>
        <w:t>their bodies as an instrument for the purpose of self-centred sexual pleasure. If sexual intercourse is performed with such a selﬁsh intention, then it is damaging to </w:t>
      </w:r>
      <w:r>
        <w:rPr>
          <w:color w:val="231F20"/>
          <w:spacing w:val="-4"/>
        </w:rPr>
        <w:t>the </w:t>
      </w:r>
      <w:r>
        <w:rPr>
          <w:color w:val="231F20"/>
        </w:rPr>
        <w:t>marriage. The callousness of such an attitude will spread from the bedroom into the heart of the marriage, and the sexual language of misplaced desire will eventually</w:t>
      </w:r>
      <w:r>
        <w:rPr>
          <w:color w:val="231F20"/>
          <w:spacing w:val="-8"/>
        </w:rPr>
        <w:t> </w:t>
      </w:r>
      <w:r>
        <w:rPr>
          <w:color w:val="231F20"/>
        </w:rPr>
        <w:t>lead</w:t>
      </w:r>
      <w:r>
        <w:rPr>
          <w:color w:val="231F20"/>
          <w:spacing w:val="-8"/>
        </w:rPr>
        <w:t> </w:t>
      </w:r>
      <w:r>
        <w:rPr>
          <w:color w:val="231F20"/>
        </w:rPr>
        <w:t>to</w:t>
      </w:r>
      <w:r>
        <w:rPr>
          <w:color w:val="231F20"/>
          <w:spacing w:val="-8"/>
        </w:rPr>
        <w:t> </w:t>
      </w:r>
      <w:r>
        <w:rPr>
          <w:color w:val="231F20"/>
        </w:rPr>
        <w:t>there</w:t>
      </w:r>
      <w:r>
        <w:rPr>
          <w:color w:val="231F20"/>
          <w:spacing w:val="-8"/>
        </w:rPr>
        <w:t> </w:t>
      </w:r>
      <w:r>
        <w:rPr>
          <w:color w:val="231F20"/>
        </w:rPr>
        <w:t>being</w:t>
      </w:r>
      <w:r>
        <w:rPr>
          <w:color w:val="231F20"/>
          <w:spacing w:val="-8"/>
        </w:rPr>
        <w:t> </w:t>
      </w:r>
      <w:r>
        <w:rPr>
          <w:color w:val="231F20"/>
        </w:rPr>
        <w:t>no</w:t>
      </w:r>
      <w:r>
        <w:rPr>
          <w:color w:val="231F20"/>
          <w:spacing w:val="-7"/>
        </w:rPr>
        <w:t> </w:t>
      </w:r>
      <w:r>
        <w:rPr>
          <w:color w:val="231F20"/>
        </w:rPr>
        <w:t>room</w:t>
      </w:r>
      <w:r>
        <w:rPr>
          <w:color w:val="231F20"/>
          <w:spacing w:val="-8"/>
        </w:rPr>
        <w:t> </w:t>
      </w:r>
      <w:r>
        <w:rPr>
          <w:color w:val="231F20"/>
        </w:rPr>
        <w:t>left</w:t>
      </w:r>
      <w:r>
        <w:rPr>
          <w:color w:val="231F20"/>
          <w:spacing w:val="-8"/>
        </w:rPr>
        <w:t> </w:t>
      </w:r>
      <w:r>
        <w:rPr>
          <w:color w:val="231F20"/>
        </w:rPr>
        <w:t>for</w:t>
      </w:r>
      <w:r>
        <w:rPr>
          <w:color w:val="231F20"/>
          <w:spacing w:val="-8"/>
        </w:rPr>
        <w:t> </w:t>
      </w:r>
      <w:r>
        <w:rPr>
          <w:color w:val="231F20"/>
        </w:rPr>
        <w:t>sexual</w:t>
      </w:r>
      <w:r>
        <w:rPr>
          <w:color w:val="231F20"/>
          <w:spacing w:val="-8"/>
        </w:rPr>
        <w:t> </w:t>
      </w:r>
      <w:r>
        <w:rPr>
          <w:color w:val="231F20"/>
        </w:rPr>
        <w:t>intercourse</w:t>
      </w:r>
      <w:r>
        <w:rPr>
          <w:color w:val="231F20"/>
          <w:spacing w:val="-7"/>
        </w:rPr>
        <w:t> </w:t>
      </w:r>
      <w:r>
        <w:rPr>
          <w:color w:val="231F20"/>
        </w:rPr>
        <w:t>to</w:t>
      </w:r>
      <w:r>
        <w:rPr>
          <w:color w:val="231F20"/>
          <w:spacing w:val="-8"/>
        </w:rPr>
        <w:t> </w:t>
      </w:r>
      <w:r>
        <w:rPr>
          <w:color w:val="231F20"/>
          <w:spacing w:val="-3"/>
        </w:rPr>
        <w:t>communicate </w:t>
      </w:r>
      <w:r>
        <w:rPr>
          <w:color w:val="231F20"/>
        </w:rPr>
        <w:t>love.</w:t>
      </w:r>
    </w:p>
    <w:p>
      <w:pPr>
        <w:pStyle w:val="BodyText"/>
        <w:spacing w:before="3"/>
        <w:rPr>
          <w:rFonts w:ascii="Palatino Linotype"/>
          <w:sz w:val="26"/>
        </w:rPr>
      </w:pPr>
    </w:p>
    <w:p>
      <w:pPr>
        <w:pStyle w:val="Heading5"/>
        <w:spacing w:line="216" w:lineRule="auto" w:before="1"/>
        <w:ind w:left="787" w:right="770"/>
      </w:pPr>
      <w:r>
        <w:rPr>
          <w:color w:val="231F20"/>
        </w:rPr>
        <w:t>Likewise, when a married couple reject the possibility that their love could bear fruit in children, they fall away from the will of God if they do this out of self-interest, rather than for the good of family. For example, a couple who shun the possibility of having children because they'll interfere with 'career development' or their social life, is thinking sinfully.</w:t>
      </w:r>
    </w:p>
    <w:p>
      <w:pPr>
        <w:spacing w:after="0" w:line="216" w:lineRule="auto"/>
        <w:sectPr>
          <w:type w:val="continuous"/>
          <w:pgSz w:w="11910" w:h="16840"/>
          <w:pgMar w:top="1320" w:bottom="1640" w:left="160" w:right="220"/>
        </w:sectPr>
      </w:pPr>
    </w:p>
    <w:p>
      <w:pPr>
        <w:pStyle w:val="Heading5"/>
        <w:spacing w:line="216" w:lineRule="auto" w:before="102"/>
        <w:ind w:left="790" w:right="768"/>
      </w:pPr>
      <w:r>
        <w:rPr>
          <w:color w:val="231F20"/>
        </w:rPr>
        <w:t>On the other hand, a couple may well have good reasons for wanting to avoid children,</w:t>
      </w:r>
      <w:r>
        <w:rPr>
          <w:color w:val="231F20"/>
          <w:spacing w:val="-8"/>
        </w:rPr>
        <w:t> </w:t>
      </w:r>
      <w:r>
        <w:rPr>
          <w:color w:val="231F20"/>
        </w:rPr>
        <w:t>for</w:t>
      </w:r>
      <w:r>
        <w:rPr>
          <w:color w:val="231F20"/>
          <w:spacing w:val="-8"/>
        </w:rPr>
        <w:t> </w:t>
      </w:r>
      <w:r>
        <w:rPr>
          <w:color w:val="231F20"/>
        </w:rPr>
        <w:t>instance</w:t>
      </w:r>
      <w:r>
        <w:rPr>
          <w:color w:val="231F20"/>
          <w:spacing w:val="-8"/>
        </w:rPr>
        <w:t> </w:t>
      </w:r>
      <w:r>
        <w:rPr>
          <w:color w:val="231F20"/>
        </w:rPr>
        <w:t>when</w:t>
      </w:r>
      <w:r>
        <w:rPr>
          <w:color w:val="231F20"/>
          <w:spacing w:val="-8"/>
        </w:rPr>
        <w:t> </w:t>
      </w:r>
      <w:r>
        <w:rPr>
          <w:color w:val="231F20"/>
        </w:rPr>
        <w:t>parents</w:t>
      </w:r>
      <w:r>
        <w:rPr>
          <w:color w:val="231F20"/>
          <w:spacing w:val="-8"/>
        </w:rPr>
        <w:t> </w:t>
      </w:r>
      <w:r>
        <w:rPr>
          <w:color w:val="231F20"/>
        </w:rPr>
        <w:t>feel</w:t>
      </w:r>
      <w:r>
        <w:rPr>
          <w:color w:val="231F20"/>
          <w:spacing w:val="-8"/>
        </w:rPr>
        <w:t> </w:t>
      </w:r>
      <w:r>
        <w:rPr>
          <w:color w:val="231F20"/>
        </w:rPr>
        <w:t>unable</w:t>
      </w:r>
      <w:r>
        <w:rPr>
          <w:color w:val="231F20"/>
          <w:spacing w:val="-8"/>
        </w:rPr>
        <w:t> </w:t>
      </w:r>
      <w:r>
        <w:rPr>
          <w:color w:val="231F20"/>
        </w:rPr>
        <w:t>to</w:t>
      </w:r>
      <w:r>
        <w:rPr>
          <w:color w:val="231F20"/>
          <w:spacing w:val="-8"/>
        </w:rPr>
        <w:t> </w:t>
      </w:r>
      <w:r>
        <w:rPr>
          <w:color w:val="231F20"/>
        </w:rPr>
        <w:t>provide</w:t>
      </w:r>
      <w:r>
        <w:rPr>
          <w:color w:val="231F20"/>
          <w:spacing w:val="-8"/>
        </w:rPr>
        <w:t> </w:t>
      </w:r>
      <w:r>
        <w:rPr>
          <w:color w:val="231F20"/>
        </w:rPr>
        <w:t>for</w:t>
      </w:r>
      <w:r>
        <w:rPr>
          <w:color w:val="231F20"/>
          <w:spacing w:val="-7"/>
        </w:rPr>
        <w:t> </w:t>
      </w:r>
      <w:r>
        <w:rPr>
          <w:color w:val="231F20"/>
        </w:rPr>
        <w:t>more</w:t>
      </w:r>
      <w:r>
        <w:rPr>
          <w:color w:val="231F20"/>
          <w:spacing w:val="-8"/>
        </w:rPr>
        <w:t> </w:t>
      </w:r>
      <w:r>
        <w:rPr>
          <w:color w:val="231F20"/>
        </w:rPr>
        <w:t>than</w:t>
      </w:r>
      <w:r>
        <w:rPr>
          <w:color w:val="231F20"/>
          <w:spacing w:val="-8"/>
        </w:rPr>
        <w:t> </w:t>
      </w:r>
      <w:r>
        <w:rPr>
          <w:color w:val="231F20"/>
        </w:rPr>
        <w:t>a</w:t>
      </w:r>
      <w:r>
        <w:rPr>
          <w:color w:val="231F20"/>
          <w:spacing w:val="-8"/>
        </w:rPr>
        <w:t> </w:t>
      </w:r>
      <w:r>
        <w:rPr>
          <w:color w:val="231F20"/>
        </w:rPr>
        <w:t>certain number of children, or when they wish to devote their time to a newborn </w:t>
      </w:r>
      <w:r>
        <w:rPr>
          <w:color w:val="231F20"/>
          <w:spacing w:val="-4"/>
        </w:rPr>
        <w:t>child </w:t>
      </w:r>
      <w:r>
        <w:rPr>
          <w:color w:val="231F20"/>
        </w:rPr>
        <w:t>before</w:t>
      </w:r>
      <w:r>
        <w:rPr>
          <w:color w:val="231F20"/>
          <w:spacing w:val="-9"/>
        </w:rPr>
        <w:t> </w:t>
      </w:r>
      <w:r>
        <w:rPr>
          <w:color w:val="231F20"/>
        </w:rPr>
        <w:t>opening</w:t>
      </w:r>
      <w:r>
        <w:rPr>
          <w:color w:val="231F20"/>
          <w:spacing w:val="-8"/>
        </w:rPr>
        <w:t> </w:t>
      </w:r>
      <w:r>
        <w:rPr>
          <w:color w:val="231F20"/>
        </w:rPr>
        <w:t>themselves</w:t>
      </w:r>
      <w:r>
        <w:rPr>
          <w:color w:val="231F20"/>
          <w:spacing w:val="-9"/>
        </w:rPr>
        <w:t> </w:t>
      </w:r>
      <w:r>
        <w:rPr>
          <w:color w:val="231F20"/>
        </w:rPr>
        <w:t>to</w:t>
      </w:r>
      <w:r>
        <w:rPr>
          <w:color w:val="231F20"/>
          <w:spacing w:val="-8"/>
        </w:rPr>
        <w:t> </w:t>
      </w:r>
      <w:r>
        <w:rPr>
          <w:color w:val="231F20"/>
        </w:rPr>
        <w:t>the</w:t>
      </w:r>
      <w:r>
        <w:rPr>
          <w:color w:val="231F20"/>
          <w:spacing w:val="-9"/>
        </w:rPr>
        <w:t> </w:t>
      </w:r>
      <w:r>
        <w:rPr>
          <w:color w:val="231F20"/>
        </w:rPr>
        <w:t>possibility</w:t>
      </w:r>
      <w:r>
        <w:rPr>
          <w:color w:val="231F20"/>
          <w:spacing w:val="-8"/>
        </w:rPr>
        <w:t> </w:t>
      </w:r>
      <w:r>
        <w:rPr>
          <w:color w:val="231F20"/>
        </w:rPr>
        <w:t>of</w:t>
      </w:r>
      <w:r>
        <w:rPr>
          <w:color w:val="231F20"/>
          <w:spacing w:val="-8"/>
        </w:rPr>
        <w:t> </w:t>
      </w:r>
      <w:r>
        <w:rPr>
          <w:color w:val="231F20"/>
        </w:rPr>
        <w:t>another.</w:t>
      </w:r>
      <w:r>
        <w:rPr>
          <w:color w:val="231F20"/>
          <w:spacing w:val="-9"/>
        </w:rPr>
        <w:t> </w:t>
      </w:r>
      <w:r>
        <w:rPr>
          <w:color w:val="231F20"/>
        </w:rPr>
        <w:t>If</w:t>
      </w:r>
      <w:r>
        <w:rPr>
          <w:color w:val="231F20"/>
          <w:spacing w:val="-8"/>
        </w:rPr>
        <w:t> </w:t>
      </w:r>
      <w:r>
        <w:rPr>
          <w:color w:val="231F20"/>
        </w:rPr>
        <w:t>the</w:t>
      </w:r>
      <w:r>
        <w:rPr>
          <w:color w:val="231F20"/>
          <w:spacing w:val="-9"/>
        </w:rPr>
        <w:t> </w:t>
      </w:r>
      <w:r>
        <w:rPr>
          <w:color w:val="231F20"/>
        </w:rPr>
        <w:t>couple</w:t>
      </w:r>
      <w:r>
        <w:rPr>
          <w:color w:val="231F20"/>
          <w:spacing w:val="-8"/>
        </w:rPr>
        <w:t> </w:t>
      </w:r>
      <w:r>
        <w:rPr>
          <w:color w:val="231F20"/>
        </w:rPr>
        <w:t>are</w:t>
      </w:r>
      <w:r>
        <w:rPr>
          <w:color w:val="231F20"/>
          <w:spacing w:val="-8"/>
        </w:rPr>
        <w:t> </w:t>
      </w:r>
      <w:r>
        <w:rPr>
          <w:color w:val="231F20"/>
        </w:rPr>
        <w:t>thinking selﬂessly, and make the decision jointly, maturely and in good conscience, then they should feel no guilt.</w:t>
      </w:r>
    </w:p>
    <w:p>
      <w:pPr>
        <w:pStyle w:val="BodyText"/>
        <w:spacing w:before="13"/>
        <w:rPr>
          <w:rFonts w:ascii="Palatino Linotype"/>
          <w:sz w:val="25"/>
        </w:rPr>
      </w:pPr>
    </w:p>
    <w:p>
      <w:pPr>
        <w:pStyle w:val="Heading5"/>
        <w:spacing w:line="216" w:lineRule="auto"/>
        <w:ind w:left="790" w:right="768"/>
      </w:pPr>
      <w:r>
        <w:rPr>
          <w:color w:val="231F20"/>
        </w:rPr>
        <w:t>But even in such circumstances, the Church encourages the couple to avoid tampering</w:t>
      </w:r>
      <w:r>
        <w:rPr>
          <w:color w:val="231F20"/>
          <w:spacing w:val="-21"/>
        </w:rPr>
        <w:t> </w:t>
      </w:r>
      <w:r>
        <w:rPr>
          <w:color w:val="231F20"/>
        </w:rPr>
        <w:t>with</w:t>
      </w:r>
      <w:r>
        <w:rPr>
          <w:color w:val="231F20"/>
          <w:spacing w:val="-21"/>
        </w:rPr>
        <w:t> </w:t>
      </w:r>
      <w:r>
        <w:rPr>
          <w:color w:val="231F20"/>
        </w:rPr>
        <w:t>the</w:t>
      </w:r>
      <w:r>
        <w:rPr>
          <w:color w:val="231F20"/>
          <w:spacing w:val="-21"/>
        </w:rPr>
        <w:t> </w:t>
      </w:r>
      <w:r>
        <w:rPr>
          <w:color w:val="231F20"/>
        </w:rPr>
        <w:t>dignity</w:t>
      </w:r>
      <w:r>
        <w:rPr>
          <w:color w:val="231F20"/>
          <w:spacing w:val="-21"/>
        </w:rPr>
        <w:t> </w:t>
      </w:r>
      <w:r>
        <w:rPr>
          <w:color w:val="231F20"/>
        </w:rPr>
        <w:t>and</w:t>
      </w:r>
      <w:r>
        <w:rPr>
          <w:color w:val="231F20"/>
          <w:spacing w:val="-20"/>
        </w:rPr>
        <w:t> </w:t>
      </w:r>
      <w:r>
        <w:rPr>
          <w:color w:val="231F20"/>
        </w:rPr>
        <w:t>beauty</w:t>
      </w:r>
      <w:r>
        <w:rPr>
          <w:color w:val="231F20"/>
          <w:spacing w:val="-21"/>
        </w:rPr>
        <w:t> </w:t>
      </w:r>
      <w:r>
        <w:rPr>
          <w:color w:val="231F20"/>
        </w:rPr>
        <w:t>of</w:t>
      </w:r>
      <w:r>
        <w:rPr>
          <w:color w:val="231F20"/>
          <w:spacing w:val="-21"/>
        </w:rPr>
        <w:t> </w:t>
      </w:r>
      <w:r>
        <w:rPr>
          <w:color w:val="231F20"/>
        </w:rPr>
        <w:t>the</w:t>
      </w:r>
      <w:r>
        <w:rPr>
          <w:color w:val="231F20"/>
          <w:spacing w:val="-21"/>
        </w:rPr>
        <w:t> </w:t>
      </w:r>
      <w:r>
        <w:rPr>
          <w:color w:val="231F20"/>
        </w:rPr>
        <w:t>sexual</w:t>
      </w:r>
      <w:r>
        <w:rPr>
          <w:color w:val="231F20"/>
          <w:spacing w:val="-21"/>
        </w:rPr>
        <w:t> </w:t>
      </w:r>
      <w:r>
        <w:rPr>
          <w:color w:val="231F20"/>
        </w:rPr>
        <w:t>expression</w:t>
      </w:r>
      <w:r>
        <w:rPr>
          <w:color w:val="231F20"/>
          <w:spacing w:val="-20"/>
        </w:rPr>
        <w:t> </w:t>
      </w:r>
      <w:r>
        <w:rPr>
          <w:color w:val="231F20"/>
        </w:rPr>
        <w:t>of</w:t>
      </w:r>
      <w:r>
        <w:rPr>
          <w:color w:val="231F20"/>
          <w:spacing w:val="-21"/>
        </w:rPr>
        <w:t> </w:t>
      </w:r>
      <w:r>
        <w:rPr>
          <w:color w:val="231F20"/>
          <w:spacing w:val="-3"/>
        </w:rPr>
        <w:t>love</w:t>
      </w:r>
      <w:r>
        <w:rPr>
          <w:color w:val="231F20"/>
          <w:spacing w:val="-21"/>
        </w:rPr>
        <w:t> </w:t>
      </w:r>
      <w:r>
        <w:rPr>
          <w:color w:val="231F20"/>
        </w:rPr>
        <w:t>by</w:t>
      </w:r>
      <w:r>
        <w:rPr>
          <w:color w:val="231F20"/>
          <w:spacing w:val="-21"/>
        </w:rPr>
        <w:t> </w:t>
      </w:r>
      <w:r>
        <w:rPr>
          <w:color w:val="231F20"/>
        </w:rPr>
        <w:t>artiﬁcial means.</w:t>
      </w:r>
      <w:r>
        <w:rPr>
          <w:color w:val="231F20"/>
          <w:spacing w:val="-17"/>
        </w:rPr>
        <w:t> </w:t>
      </w:r>
      <w:r>
        <w:rPr>
          <w:color w:val="231F20"/>
        </w:rPr>
        <w:t>Instead</w:t>
      </w:r>
      <w:r>
        <w:rPr>
          <w:color w:val="231F20"/>
          <w:spacing w:val="-16"/>
        </w:rPr>
        <w:t> </w:t>
      </w:r>
      <w:r>
        <w:rPr>
          <w:color w:val="231F20"/>
        </w:rPr>
        <w:t>of</w:t>
      </w:r>
      <w:r>
        <w:rPr>
          <w:color w:val="231F20"/>
          <w:spacing w:val="-17"/>
        </w:rPr>
        <w:t> </w:t>
      </w:r>
      <w:r>
        <w:rPr>
          <w:color w:val="231F20"/>
        </w:rPr>
        <w:t>using</w:t>
      </w:r>
      <w:r>
        <w:rPr>
          <w:color w:val="231F20"/>
          <w:spacing w:val="-16"/>
        </w:rPr>
        <w:t> </w:t>
      </w:r>
      <w:r>
        <w:rPr>
          <w:color w:val="231F20"/>
        </w:rPr>
        <w:t>contraceptive</w:t>
      </w:r>
      <w:r>
        <w:rPr>
          <w:color w:val="231F20"/>
          <w:spacing w:val="-17"/>
        </w:rPr>
        <w:t> </w:t>
      </w:r>
      <w:r>
        <w:rPr>
          <w:color w:val="231F20"/>
        </w:rPr>
        <w:t>devices,</w:t>
      </w:r>
      <w:r>
        <w:rPr>
          <w:color w:val="231F20"/>
          <w:spacing w:val="-16"/>
        </w:rPr>
        <w:t> </w:t>
      </w:r>
      <w:r>
        <w:rPr>
          <w:color w:val="231F20"/>
        </w:rPr>
        <w:t>they</w:t>
      </w:r>
      <w:r>
        <w:rPr>
          <w:color w:val="231F20"/>
          <w:spacing w:val="-17"/>
        </w:rPr>
        <w:t> </w:t>
      </w:r>
      <w:r>
        <w:rPr>
          <w:color w:val="231F20"/>
        </w:rPr>
        <w:t>could</w:t>
      </w:r>
      <w:r>
        <w:rPr>
          <w:color w:val="231F20"/>
          <w:spacing w:val="-16"/>
        </w:rPr>
        <w:t> </w:t>
      </w:r>
      <w:r>
        <w:rPr>
          <w:color w:val="231F20"/>
        </w:rPr>
        <w:t>learn</w:t>
      </w:r>
      <w:r>
        <w:rPr>
          <w:color w:val="231F20"/>
          <w:spacing w:val="-17"/>
        </w:rPr>
        <w:t> </w:t>
      </w:r>
      <w:r>
        <w:rPr>
          <w:color w:val="231F20"/>
        </w:rPr>
        <w:t>to</w:t>
      </w:r>
      <w:r>
        <w:rPr>
          <w:color w:val="231F20"/>
          <w:spacing w:val="-16"/>
        </w:rPr>
        <w:t> </w:t>
      </w:r>
      <w:r>
        <w:rPr>
          <w:color w:val="231F20"/>
        </w:rPr>
        <w:t>ﬁnd</w:t>
      </w:r>
      <w:r>
        <w:rPr>
          <w:color w:val="231F20"/>
          <w:spacing w:val="-17"/>
        </w:rPr>
        <w:t> </w:t>
      </w:r>
      <w:r>
        <w:rPr>
          <w:color w:val="231F20"/>
        </w:rPr>
        <w:t>other</w:t>
      </w:r>
      <w:r>
        <w:rPr>
          <w:color w:val="231F20"/>
          <w:spacing w:val="-16"/>
        </w:rPr>
        <w:t> </w:t>
      </w:r>
      <w:r>
        <w:rPr>
          <w:color w:val="231F20"/>
          <w:spacing w:val="-3"/>
        </w:rPr>
        <w:t>ways </w:t>
      </w:r>
      <w:r>
        <w:rPr>
          <w:color w:val="231F20"/>
        </w:rPr>
        <w:t>of expressing marital love than sexual intercourse in the few fertile days of the woman's cycle. Far from thinking of this as something negative, the couple have an opportunity to enhance their love for each other by sharing time together in a spirit of joy:</w:t>
      </w:r>
    </w:p>
    <w:p>
      <w:pPr>
        <w:pStyle w:val="Heading6"/>
        <w:spacing w:line="360" w:lineRule="exact" w:before="169"/>
        <w:ind w:left="879" w:right="0"/>
        <w:jc w:val="both"/>
        <w:rPr>
          <w:i/>
        </w:rPr>
      </w:pPr>
      <w:r>
        <w:rPr>
          <w:i/>
          <w:color w:val="231F20"/>
        </w:rPr>
        <w:t>Excess, lack of control or obsession with a single form of pleasure can end up</w:t>
      </w:r>
      <w:r>
        <w:rPr>
          <w:i/>
          <w:color w:val="231F20"/>
          <w:spacing w:val="-5"/>
        </w:rPr>
        <w:t> </w:t>
      </w:r>
      <w:r>
        <w:rPr>
          <w:i/>
          <w:color w:val="231F20"/>
        </w:rPr>
        <w:t>weakening</w:t>
      </w:r>
    </w:p>
    <w:p>
      <w:pPr>
        <w:pStyle w:val="Heading6"/>
        <w:spacing w:line="216" w:lineRule="auto" w:before="11"/>
        <w:ind w:left="982" w:right="792" w:firstLine="3305"/>
      </w:pPr>
      <w:r>
        <w:rPr>
          <w:i/>
          <w:color w:val="231F20"/>
        </w:rPr>
        <w:t>and tainting that very pleasure and damaging</w:t>
      </w:r>
      <w:r>
        <w:rPr>
          <w:i/>
          <w:color w:val="231F20"/>
          <w:spacing w:val="-2"/>
        </w:rPr>
        <w:t> </w:t>
      </w:r>
      <w:r>
        <w:rPr>
          <w:i/>
          <w:color w:val="231F20"/>
        </w:rPr>
        <w:t>family </w:t>
      </w:r>
      <w:r>
        <w:rPr>
          <w:i/>
          <w:color w:val="231F20"/>
          <w:spacing w:val="-4"/>
        </w:rPr>
        <w:t>life.</w:t>
      </w:r>
      <w:r>
        <w:rPr>
          <w:color w:val="231F20"/>
        </w:rPr>
        <w:t> A person can certainly channel his passions in a beautiful and</w:t>
      </w:r>
      <w:r>
        <w:rPr>
          <w:color w:val="231F20"/>
          <w:spacing w:val="-8"/>
        </w:rPr>
        <w:t> </w:t>
      </w:r>
      <w:r>
        <w:rPr>
          <w:color w:val="231F20"/>
        </w:rPr>
        <w:t>healthy way, increasingly pointing them towards altruism and an integrated self-fulﬁlment</w:t>
      </w:r>
      <w:r>
        <w:rPr>
          <w:color w:val="231F20"/>
          <w:spacing w:val="-6"/>
        </w:rPr>
        <w:t> </w:t>
      </w:r>
      <w:r>
        <w:rPr>
          <w:color w:val="231F20"/>
        </w:rPr>
        <w:t>that</w:t>
      </w:r>
      <w:r>
        <w:rPr>
          <w:color w:val="231F20"/>
          <w:spacing w:val="-1"/>
        </w:rPr>
        <w:t> </w:t>
      </w:r>
      <w:r>
        <w:rPr>
          <w:color w:val="231F20"/>
          <w:spacing w:val="-6"/>
        </w:rPr>
        <w:t>can</w:t>
      </w:r>
      <w:r>
        <w:rPr>
          <w:color w:val="231F20"/>
        </w:rPr>
        <w:t> only enrich interpersonal relationships in the heart of the family. This does not mean renouncing moments of intense enjoyment, but rather integrating them with other moments of generous commitment, patient hope, inevitable weariness and struggle</w:t>
      </w:r>
      <w:r>
        <w:rPr>
          <w:color w:val="231F20"/>
          <w:spacing w:val="-5"/>
        </w:rPr>
        <w:t> </w:t>
      </w:r>
      <w:r>
        <w:rPr>
          <w:color w:val="231F20"/>
        </w:rPr>
        <w:t>to</w:t>
      </w:r>
    </w:p>
    <w:p>
      <w:pPr>
        <w:pStyle w:val="Heading6"/>
        <w:spacing w:line="339" w:lineRule="exact"/>
        <w:ind w:right="792"/>
        <w:rPr>
          <w:i/>
        </w:rPr>
      </w:pPr>
      <w:r>
        <w:rPr>
          <w:i/>
          <w:color w:val="231F20"/>
        </w:rPr>
        <w:t>achieve an</w:t>
      </w:r>
      <w:r>
        <w:rPr>
          <w:i/>
          <w:color w:val="231F20"/>
          <w:spacing w:val="-5"/>
        </w:rPr>
        <w:t> </w:t>
      </w:r>
      <w:r>
        <w:rPr>
          <w:i/>
          <w:color w:val="231F20"/>
        </w:rPr>
        <w:t>ideal.</w:t>
      </w:r>
    </w:p>
    <w:p>
      <w:pPr>
        <w:pStyle w:val="Heading5"/>
        <w:spacing w:line="360" w:lineRule="exact"/>
        <w:ind w:right="792"/>
        <w:jc w:val="right"/>
      </w:pPr>
      <w:r>
        <w:rPr>
          <w:color w:val="231F20"/>
        </w:rPr>
        <w:t>AL 148</w:t>
      </w:r>
    </w:p>
    <w:p>
      <w:pPr>
        <w:pStyle w:val="Heading5"/>
        <w:spacing w:line="216" w:lineRule="auto" w:before="135"/>
        <w:ind w:left="774" w:right="791"/>
      </w:pPr>
      <w:r>
        <w:rPr>
          <w:color w:val="231F20"/>
          <w:spacing w:val="-10"/>
        </w:rPr>
        <w:t>We </w:t>
      </w:r>
      <w:r>
        <w:rPr>
          <w:color w:val="231F20"/>
        </w:rPr>
        <w:t>understand that it can seem diﬃcult for many to hear the Church continuing to stand by its ageless teaching, passed down from earliest times, on the immorality</w:t>
      </w:r>
      <w:r>
        <w:rPr>
          <w:color w:val="231F20"/>
          <w:spacing w:val="-6"/>
        </w:rPr>
        <w:t> </w:t>
      </w:r>
      <w:r>
        <w:rPr>
          <w:color w:val="231F20"/>
        </w:rPr>
        <w:t>of</w:t>
      </w:r>
      <w:r>
        <w:rPr>
          <w:color w:val="231F20"/>
          <w:spacing w:val="-5"/>
        </w:rPr>
        <w:t> </w:t>
      </w:r>
      <w:r>
        <w:rPr>
          <w:color w:val="231F20"/>
        </w:rPr>
        <w:t>sexual</w:t>
      </w:r>
      <w:r>
        <w:rPr>
          <w:color w:val="231F20"/>
          <w:spacing w:val="-6"/>
        </w:rPr>
        <w:t> </w:t>
      </w:r>
      <w:r>
        <w:rPr>
          <w:color w:val="231F20"/>
        </w:rPr>
        <w:t>expressions</w:t>
      </w:r>
      <w:r>
        <w:rPr>
          <w:color w:val="231F20"/>
          <w:spacing w:val="-5"/>
        </w:rPr>
        <w:t> </w:t>
      </w:r>
      <w:r>
        <w:rPr>
          <w:color w:val="231F20"/>
        </w:rPr>
        <w:t>of</w:t>
      </w:r>
      <w:r>
        <w:rPr>
          <w:color w:val="231F20"/>
          <w:spacing w:val="-5"/>
        </w:rPr>
        <w:t> </w:t>
      </w:r>
      <w:r>
        <w:rPr>
          <w:color w:val="231F20"/>
        </w:rPr>
        <w:t>love</w:t>
      </w:r>
      <w:r>
        <w:rPr>
          <w:color w:val="231F20"/>
          <w:spacing w:val="-6"/>
        </w:rPr>
        <w:t> </w:t>
      </w:r>
      <w:r>
        <w:rPr>
          <w:color w:val="231F20"/>
        </w:rPr>
        <w:t>in</w:t>
      </w:r>
      <w:r>
        <w:rPr>
          <w:color w:val="231F20"/>
          <w:spacing w:val="-5"/>
        </w:rPr>
        <w:t> </w:t>
      </w:r>
      <w:r>
        <w:rPr>
          <w:color w:val="231F20"/>
        </w:rPr>
        <w:t>relationships</w:t>
      </w:r>
      <w:r>
        <w:rPr>
          <w:color w:val="231F20"/>
          <w:spacing w:val="-5"/>
        </w:rPr>
        <w:t> </w:t>
      </w:r>
      <w:r>
        <w:rPr>
          <w:color w:val="231F20"/>
        </w:rPr>
        <w:t>outside</w:t>
      </w:r>
      <w:r>
        <w:rPr>
          <w:color w:val="231F20"/>
          <w:spacing w:val="-6"/>
        </w:rPr>
        <w:t> </w:t>
      </w:r>
      <w:r>
        <w:rPr>
          <w:color w:val="231F20"/>
        </w:rPr>
        <w:t>of</w:t>
      </w:r>
      <w:r>
        <w:rPr>
          <w:color w:val="231F20"/>
          <w:spacing w:val="-5"/>
        </w:rPr>
        <w:t> </w:t>
      </w:r>
      <w:r>
        <w:rPr>
          <w:color w:val="231F20"/>
        </w:rPr>
        <w:t>marriage.</w:t>
      </w:r>
      <w:r>
        <w:rPr>
          <w:color w:val="231F20"/>
          <w:spacing w:val="-5"/>
        </w:rPr>
        <w:t> </w:t>
      </w:r>
      <w:r>
        <w:rPr>
          <w:color w:val="231F20"/>
          <w:spacing w:val="-10"/>
        </w:rPr>
        <w:t>We </w:t>
      </w:r>
      <w:r>
        <w:rPr>
          <w:color w:val="231F20"/>
        </w:rPr>
        <w:t>recognise</w:t>
      </w:r>
      <w:r>
        <w:rPr>
          <w:color w:val="231F20"/>
          <w:spacing w:val="-18"/>
        </w:rPr>
        <w:t> </w:t>
      </w:r>
      <w:r>
        <w:rPr>
          <w:color w:val="231F20"/>
        </w:rPr>
        <w:t>that</w:t>
      </w:r>
      <w:r>
        <w:rPr>
          <w:color w:val="231F20"/>
          <w:spacing w:val="-18"/>
        </w:rPr>
        <w:t> </w:t>
      </w:r>
      <w:r>
        <w:rPr>
          <w:color w:val="231F20"/>
        </w:rPr>
        <w:t>it</w:t>
      </w:r>
      <w:r>
        <w:rPr>
          <w:color w:val="231F20"/>
          <w:spacing w:val="-18"/>
        </w:rPr>
        <w:t> </w:t>
      </w:r>
      <w:r>
        <w:rPr>
          <w:color w:val="231F20"/>
        </w:rPr>
        <w:t>doesn't</w:t>
      </w:r>
      <w:r>
        <w:rPr>
          <w:color w:val="231F20"/>
          <w:spacing w:val="-18"/>
        </w:rPr>
        <w:t> </w:t>
      </w:r>
      <w:r>
        <w:rPr>
          <w:color w:val="231F20"/>
        </w:rPr>
        <w:t>at</w:t>
      </w:r>
      <w:r>
        <w:rPr>
          <w:color w:val="231F20"/>
          <w:spacing w:val="-18"/>
        </w:rPr>
        <w:t> </w:t>
      </w:r>
      <w:r>
        <w:rPr>
          <w:color w:val="231F20"/>
        </w:rPr>
        <w:t>all</w:t>
      </w:r>
      <w:r>
        <w:rPr>
          <w:color w:val="231F20"/>
          <w:spacing w:val="-18"/>
        </w:rPr>
        <w:t> </w:t>
      </w:r>
      <w:r>
        <w:rPr>
          <w:color w:val="231F20"/>
        </w:rPr>
        <w:t>accord</w:t>
      </w:r>
      <w:r>
        <w:rPr>
          <w:color w:val="231F20"/>
          <w:spacing w:val="-18"/>
        </w:rPr>
        <w:t> </w:t>
      </w:r>
      <w:r>
        <w:rPr>
          <w:color w:val="231F20"/>
        </w:rPr>
        <w:t>with</w:t>
      </w:r>
      <w:r>
        <w:rPr>
          <w:color w:val="231F20"/>
          <w:spacing w:val="-17"/>
        </w:rPr>
        <w:t> </w:t>
      </w:r>
      <w:r>
        <w:rPr>
          <w:color w:val="231F20"/>
        </w:rPr>
        <w:t>the</w:t>
      </w:r>
      <w:r>
        <w:rPr>
          <w:color w:val="231F20"/>
          <w:spacing w:val="-18"/>
        </w:rPr>
        <w:t> </w:t>
      </w:r>
      <w:r>
        <w:rPr>
          <w:color w:val="231F20"/>
        </w:rPr>
        <w:t>attitudes</w:t>
      </w:r>
      <w:r>
        <w:rPr>
          <w:color w:val="231F20"/>
          <w:spacing w:val="-18"/>
        </w:rPr>
        <w:t> </w:t>
      </w:r>
      <w:r>
        <w:rPr>
          <w:color w:val="231F20"/>
        </w:rPr>
        <w:t>prevalent</w:t>
      </w:r>
      <w:r>
        <w:rPr>
          <w:color w:val="231F20"/>
          <w:spacing w:val="-18"/>
        </w:rPr>
        <w:t> </w:t>
      </w:r>
      <w:r>
        <w:rPr>
          <w:color w:val="231F20"/>
        </w:rPr>
        <w:t>in</w:t>
      </w:r>
      <w:r>
        <w:rPr>
          <w:color w:val="231F20"/>
          <w:spacing w:val="-18"/>
        </w:rPr>
        <w:t> </w:t>
      </w:r>
      <w:r>
        <w:rPr>
          <w:color w:val="231F20"/>
        </w:rPr>
        <w:t>contemporary society.</w:t>
      </w:r>
    </w:p>
    <w:p>
      <w:pPr>
        <w:pStyle w:val="BodyText"/>
        <w:spacing w:before="12"/>
        <w:rPr>
          <w:rFonts w:ascii="Palatino Linotype"/>
          <w:sz w:val="25"/>
        </w:rPr>
      </w:pPr>
    </w:p>
    <w:p>
      <w:pPr>
        <w:pStyle w:val="Heading5"/>
        <w:spacing w:line="216" w:lineRule="auto"/>
        <w:ind w:left="773" w:right="791"/>
      </w:pPr>
      <w:r>
        <w:rPr>
          <w:color w:val="231F20"/>
        </w:rPr>
        <w:t>This is not the only area where the Church stands out against what has now </w:t>
      </w:r>
      <w:r>
        <w:rPr>
          <w:color w:val="231F20"/>
          <w:spacing w:val="-3"/>
        </w:rPr>
        <w:t>become</w:t>
      </w:r>
      <w:r>
        <w:rPr>
          <w:color w:val="231F20"/>
          <w:spacing w:val="-15"/>
        </w:rPr>
        <w:t> </w:t>
      </w:r>
      <w:r>
        <w:rPr>
          <w:color w:val="231F20"/>
          <w:spacing w:val="-3"/>
        </w:rPr>
        <w:t>culturally</w:t>
      </w:r>
      <w:r>
        <w:rPr>
          <w:color w:val="231F20"/>
          <w:spacing w:val="-14"/>
        </w:rPr>
        <w:t> </w:t>
      </w:r>
      <w:r>
        <w:rPr>
          <w:color w:val="231F20"/>
          <w:spacing w:val="-3"/>
        </w:rPr>
        <w:t>acceptable</w:t>
      </w:r>
      <w:r>
        <w:rPr>
          <w:color w:val="231F20"/>
          <w:spacing w:val="-14"/>
        </w:rPr>
        <w:t> </w:t>
      </w:r>
      <w:r>
        <w:rPr>
          <w:color w:val="231F20"/>
        </w:rPr>
        <w:t>in</w:t>
      </w:r>
      <w:r>
        <w:rPr>
          <w:color w:val="231F20"/>
          <w:spacing w:val="-14"/>
        </w:rPr>
        <w:t> </w:t>
      </w:r>
      <w:r>
        <w:rPr>
          <w:color w:val="231F20"/>
        </w:rPr>
        <w:t>our</w:t>
      </w:r>
      <w:r>
        <w:rPr>
          <w:color w:val="231F20"/>
          <w:spacing w:val="-14"/>
        </w:rPr>
        <w:t> </w:t>
      </w:r>
      <w:r>
        <w:rPr>
          <w:color w:val="231F20"/>
          <w:spacing w:val="-3"/>
        </w:rPr>
        <w:t>times,</w:t>
      </w:r>
      <w:r>
        <w:rPr>
          <w:color w:val="231F20"/>
          <w:spacing w:val="-14"/>
        </w:rPr>
        <w:t> </w:t>
      </w:r>
      <w:r>
        <w:rPr>
          <w:color w:val="231F20"/>
        </w:rPr>
        <w:t>but</w:t>
      </w:r>
      <w:r>
        <w:rPr>
          <w:color w:val="231F20"/>
          <w:spacing w:val="-14"/>
        </w:rPr>
        <w:t> </w:t>
      </w:r>
      <w:r>
        <w:rPr>
          <w:color w:val="231F20"/>
        </w:rPr>
        <w:t>the</w:t>
      </w:r>
      <w:r>
        <w:rPr>
          <w:color w:val="231F20"/>
          <w:spacing w:val="-14"/>
        </w:rPr>
        <w:t> </w:t>
      </w:r>
      <w:r>
        <w:rPr>
          <w:color w:val="231F20"/>
          <w:spacing w:val="-3"/>
        </w:rPr>
        <w:t>Church</w:t>
      </w:r>
      <w:r>
        <w:rPr>
          <w:color w:val="231F20"/>
          <w:spacing w:val="-14"/>
        </w:rPr>
        <w:t> </w:t>
      </w:r>
      <w:r>
        <w:rPr>
          <w:color w:val="231F20"/>
        </w:rPr>
        <w:t>has</w:t>
      </w:r>
      <w:r>
        <w:rPr>
          <w:color w:val="231F20"/>
          <w:spacing w:val="-14"/>
        </w:rPr>
        <w:t> </w:t>
      </w:r>
      <w:r>
        <w:rPr>
          <w:color w:val="231F20"/>
        </w:rPr>
        <w:t>had</w:t>
      </w:r>
      <w:r>
        <w:rPr>
          <w:color w:val="231F20"/>
          <w:spacing w:val="-14"/>
        </w:rPr>
        <w:t> </w:t>
      </w:r>
      <w:r>
        <w:rPr>
          <w:color w:val="231F20"/>
        </w:rPr>
        <w:t>to</w:t>
      </w:r>
      <w:r>
        <w:rPr>
          <w:color w:val="231F20"/>
          <w:spacing w:val="-14"/>
        </w:rPr>
        <w:t> </w:t>
      </w:r>
      <w:r>
        <w:rPr>
          <w:color w:val="231F20"/>
          <w:spacing w:val="-3"/>
        </w:rPr>
        <w:t>tread</w:t>
      </w:r>
      <w:r>
        <w:rPr>
          <w:color w:val="231F20"/>
          <w:spacing w:val="-14"/>
        </w:rPr>
        <w:t> </w:t>
      </w:r>
      <w:r>
        <w:rPr>
          <w:color w:val="231F20"/>
        </w:rPr>
        <w:t>a</w:t>
      </w:r>
      <w:r>
        <w:rPr>
          <w:color w:val="231F20"/>
          <w:spacing w:val="-14"/>
        </w:rPr>
        <w:t> </w:t>
      </w:r>
      <w:r>
        <w:rPr>
          <w:color w:val="231F20"/>
          <w:spacing w:val="-3"/>
        </w:rPr>
        <w:t>lonely </w:t>
      </w:r>
      <w:r>
        <w:rPr>
          <w:color w:val="231F20"/>
        </w:rPr>
        <w:t>path</w:t>
      </w:r>
      <w:r>
        <w:rPr>
          <w:color w:val="231F20"/>
          <w:spacing w:val="-15"/>
        </w:rPr>
        <w:t> </w:t>
      </w:r>
      <w:r>
        <w:rPr>
          <w:color w:val="231F20"/>
        </w:rPr>
        <w:t>in</w:t>
      </w:r>
      <w:r>
        <w:rPr>
          <w:color w:val="231F20"/>
          <w:spacing w:val="-15"/>
        </w:rPr>
        <w:t> </w:t>
      </w:r>
      <w:r>
        <w:rPr>
          <w:color w:val="231F20"/>
        </w:rPr>
        <w:t>every</w:t>
      </w:r>
      <w:r>
        <w:rPr>
          <w:color w:val="231F20"/>
          <w:spacing w:val="-14"/>
        </w:rPr>
        <w:t> </w:t>
      </w:r>
      <w:r>
        <w:rPr>
          <w:color w:val="231F20"/>
        </w:rPr>
        <w:t>age,</w:t>
      </w:r>
      <w:r>
        <w:rPr>
          <w:color w:val="231F20"/>
          <w:spacing w:val="-15"/>
        </w:rPr>
        <w:t> </w:t>
      </w:r>
      <w:r>
        <w:rPr>
          <w:color w:val="231F20"/>
        </w:rPr>
        <w:t>since</w:t>
      </w:r>
      <w:r>
        <w:rPr>
          <w:color w:val="231F20"/>
          <w:spacing w:val="-14"/>
        </w:rPr>
        <w:t> </w:t>
      </w:r>
      <w:r>
        <w:rPr>
          <w:color w:val="231F20"/>
        </w:rPr>
        <w:t>those</w:t>
      </w:r>
      <w:r>
        <w:rPr>
          <w:color w:val="231F20"/>
          <w:spacing w:val="-15"/>
        </w:rPr>
        <w:t> </w:t>
      </w:r>
      <w:r>
        <w:rPr>
          <w:color w:val="231F20"/>
        </w:rPr>
        <w:t>earliest</w:t>
      </w:r>
      <w:r>
        <w:rPr>
          <w:color w:val="231F20"/>
          <w:spacing w:val="-15"/>
        </w:rPr>
        <w:t> </w:t>
      </w:r>
      <w:r>
        <w:rPr>
          <w:color w:val="231F20"/>
        </w:rPr>
        <w:t>of</w:t>
      </w:r>
      <w:r>
        <w:rPr>
          <w:color w:val="231F20"/>
          <w:spacing w:val="-14"/>
        </w:rPr>
        <w:t> </w:t>
      </w:r>
      <w:r>
        <w:rPr>
          <w:color w:val="231F20"/>
        </w:rPr>
        <w:t>days</w:t>
      </w:r>
      <w:r>
        <w:rPr>
          <w:color w:val="231F20"/>
          <w:spacing w:val="-15"/>
        </w:rPr>
        <w:t> </w:t>
      </w:r>
      <w:r>
        <w:rPr>
          <w:color w:val="231F20"/>
        </w:rPr>
        <w:t>in</w:t>
      </w:r>
      <w:r>
        <w:rPr>
          <w:color w:val="231F20"/>
          <w:spacing w:val="-14"/>
        </w:rPr>
        <w:t> </w:t>
      </w:r>
      <w:r>
        <w:rPr>
          <w:color w:val="231F20"/>
        </w:rPr>
        <w:t>the</w:t>
      </w:r>
      <w:r>
        <w:rPr>
          <w:color w:val="231F20"/>
          <w:spacing w:val="-15"/>
        </w:rPr>
        <w:t> </w:t>
      </w:r>
      <w:r>
        <w:rPr>
          <w:color w:val="231F20"/>
        </w:rPr>
        <w:t>history</w:t>
      </w:r>
      <w:r>
        <w:rPr>
          <w:color w:val="231F20"/>
          <w:spacing w:val="-14"/>
        </w:rPr>
        <w:t> </w:t>
      </w:r>
      <w:r>
        <w:rPr>
          <w:color w:val="231F20"/>
        </w:rPr>
        <w:t>of</w:t>
      </w:r>
      <w:r>
        <w:rPr>
          <w:color w:val="231F20"/>
          <w:spacing w:val="-15"/>
        </w:rPr>
        <w:t> </w:t>
      </w:r>
      <w:r>
        <w:rPr>
          <w:color w:val="231F20"/>
        </w:rPr>
        <w:t>Christianity.</w:t>
      </w:r>
      <w:r>
        <w:rPr>
          <w:color w:val="231F20"/>
          <w:spacing w:val="-15"/>
        </w:rPr>
        <w:t> </w:t>
      </w:r>
      <w:r>
        <w:rPr>
          <w:color w:val="231F20"/>
          <w:spacing w:val="-10"/>
        </w:rPr>
        <w:t>We</w:t>
      </w:r>
      <w:r>
        <w:rPr>
          <w:color w:val="231F20"/>
          <w:spacing w:val="-14"/>
        </w:rPr>
        <w:t> </w:t>
      </w:r>
      <w:r>
        <w:rPr>
          <w:color w:val="231F20"/>
        </w:rPr>
        <w:t>are called</w:t>
      </w:r>
      <w:r>
        <w:rPr>
          <w:color w:val="231F20"/>
          <w:spacing w:val="-10"/>
        </w:rPr>
        <w:t> </w:t>
      </w:r>
      <w:r>
        <w:rPr>
          <w:color w:val="231F20"/>
        </w:rPr>
        <w:t>to</w:t>
      </w:r>
      <w:r>
        <w:rPr>
          <w:color w:val="231F20"/>
          <w:spacing w:val="-9"/>
        </w:rPr>
        <w:t> </w:t>
      </w:r>
      <w:r>
        <w:rPr>
          <w:color w:val="231F20"/>
        </w:rPr>
        <w:t>proclaim</w:t>
      </w:r>
      <w:r>
        <w:rPr>
          <w:color w:val="231F20"/>
          <w:spacing w:val="-9"/>
        </w:rPr>
        <w:t> </w:t>
      </w:r>
      <w:r>
        <w:rPr>
          <w:color w:val="231F20"/>
        </w:rPr>
        <w:t>the</w:t>
      </w:r>
      <w:r>
        <w:rPr>
          <w:color w:val="231F20"/>
          <w:spacing w:val="-9"/>
        </w:rPr>
        <w:t> </w:t>
      </w:r>
      <w:r>
        <w:rPr>
          <w:color w:val="231F20"/>
        </w:rPr>
        <w:t>truth</w:t>
      </w:r>
      <w:r>
        <w:rPr>
          <w:color w:val="231F20"/>
          <w:spacing w:val="-9"/>
        </w:rPr>
        <w:t> </w:t>
      </w:r>
      <w:r>
        <w:rPr>
          <w:color w:val="231F20"/>
        </w:rPr>
        <w:t>as</w:t>
      </w:r>
      <w:r>
        <w:rPr>
          <w:color w:val="231F20"/>
          <w:spacing w:val="-9"/>
        </w:rPr>
        <w:t> </w:t>
      </w:r>
      <w:r>
        <w:rPr>
          <w:color w:val="231F20"/>
        </w:rPr>
        <w:t>it</w:t>
      </w:r>
      <w:r>
        <w:rPr>
          <w:color w:val="231F20"/>
          <w:spacing w:val="-9"/>
        </w:rPr>
        <w:t> </w:t>
      </w:r>
      <w:r>
        <w:rPr>
          <w:color w:val="231F20"/>
        </w:rPr>
        <w:t>has</w:t>
      </w:r>
      <w:r>
        <w:rPr>
          <w:color w:val="231F20"/>
          <w:spacing w:val="-9"/>
        </w:rPr>
        <w:t> </w:t>
      </w:r>
      <w:r>
        <w:rPr>
          <w:color w:val="231F20"/>
        </w:rPr>
        <w:t>been</w:t>
      </w:r>
      <w:r>
        <w:rPr>
          <w:color w:val="231F20"/>
          <w:spacing w:val="-9"/>
        </w:rPr>
        <w:t> </w:t>
      </w:r>
      <w:r>
        <w:rPr>
          <w:color w:val="231F20"/>
        </w:rPr>
        <w:t>passed</w:t>
      </w:r>
      <w:r>
        <w:rPr>
          <w:color w:val="231F20"/>
          <w:spacing w:val="-9"/>
        </w:rPr>
        <w:t> </w:t>
      </w:r>
      <w:r>
        <w:rPr>
          <w:color w:val="231F20"/>
        </w:rPr>
        <w:t>down</w:t>
      </w:r>
      <w:r>
        <w:rPr>
          <w:color w:val="231F20"/>
          <w:spacing w:val="-9"/>
        </w:rPr>
        <w:t> </w:t>
      </w:r>
      <w:r>
        <w:rPr>
          <w:color w:val="231F20"/>
        </w:rPr>
        <w:t>to</w:t>
      </w:r>
      <w:r>
        <w:rPr>
          <w:color w:val="231F20"/>
          <w:spacing w:val="-9"/>
        </w:rPr>
        <w:t> </w:t>
      </w:r>
      <w:r>
        <w:rPr>
          <w:color w:val="231F20"/>
        </w:rPr>
        <w:t>us</w:t>
      </w:r>
      <w:r>
        <w:rPr>
          <w:color w:val="231F20"/>
          <w:spacing w:val="-9"/>
        </w:rPr>
        <w:t> </w:t>
      </w:r>
      <w:r>
        <w:rPr>
          <w:color w:val="231F20"/>
        </w:rPr>
        <w:t>in</w:t>
      </w:r>
      <w:r>
        <w:rPr>
          <w:color w:val="231F20"/>
          <w:spacing w:val="-9"/>
        </w:rPr>
        <w:t> </w:t>
      </w:r>
      <w:r>
        <w:rPr>
          <w:color w:val="231F20"/>
        </w:rPr>
        <w:t>and</w:t>
      </w:r>
      <w:r>
        <w:rPr>
          <w:color w:val="231F20"/>
          <w:spacing w:val="-9"/>
        </w:rPr>
        <w:t> </w:t>
      </w:r>
      <w:r>
        <w:rPr>
          <w:color w:val="231F20"/>
        </w:rPr>
        <w:t>out</w:t>
      </w:r>
      <w:r>
        <w:rPr>
          <w:color w:val="231F20"/>
          <w:spacing w:val="-9"/>
        </w:rPr>
        <w:t> </w:t>
      </w:r>
      <w:r>
        <w:rPr>
          <w:color w:val="231F20"/>
        </w:rPr>
        <w:t>of</w:t>
      </w:r>
      <w:r>
        <w:rPr>
          <w:color w:val="231F20"/>
          <w:spacing w:val="-9"/>
        </w:rPr>
        <w:t> </w:t>
      </w:r>
      <w:r>
        <w:rPr>
          <w:color w:val="231F20"/>
        </w:rPr>
        <w:t>season, preaching</w:t>
      </w:r>
      <w:r>
        <w:rPr>
          <w:color w:val="231F20"/>
          <w:spacing w:val="-11"/>
        </w:rPr>
        <w:t> </w:t>
      </w:r>
      <w:r>
        <w:rPr>
          <w:color w:val="231F20"/>
        </w:rPr>
        <w:t>what</w:t>
      </w:r>
      <w:r>
        <w:rPr>
          <w:color w:val="231F20"/>
          <w:spacing w:val="-11"/>
        </w:rPr>
        <w:t> </w:t>
      </w:r>
      <w:r>
        <w:rPr>
          <w:color w:val="231F20"/>
        </w:rPr>
        <w:t>might</w:t>
      </w:r>
      <w:r>
        <w:rPr>
          <w:color w:val="231F20"/>
          <w:spacing w:val="-11"/>
        </w:rPr>
        <w:t> </w:t>
      </w:r>
      <w:r>
        <w:rPr>
          <w:color w:val="231F20"/>
        </w:rPr>
        <w:t>well</w:t>
      </w:r>
      <w:r>
        <w:rPr>
          <w:color w:val="231F20"/>
          <w:spacing w:val="-11"/>
        </w:rPr>
        <w:t> </w:t>
      </w:r>
      <w:r>
        <w:rPr>
          <w:color w:val="231F20"/>
        </w:rPr>
        <w:t>seem</w:t>
      </w:r>
      <w:r>
        <w:rPr>
          <w:color w:val="231F20"/>
          <w:spacing w:val="-11"/>
        </w:rPr>
        <w:t> </w:t>
      </w:r>
      <w:r>
        <w:rPr>
          <w:color w:val="231F20"/>
        </w:rPr>
        <w:t>foolish</w:t>
      </w:r>
      <w:r>
        <w:rPr>
          <w:color w:val="231F20"/>
          <w:spacing w:val="-11"/>
        </w:rPr>
        <w:t> </w:t>
      </w:r>
      <w:r>
        <w:rPr>
          <w:color w:val="231F20"/>
        </w:rPr>
        <w:t>and</w:t>
      </w:r>
      <w:r>
        <w:rPr>
          <w:color w:val="231F20"/>
          <w:spacing w:val="-11"/>
        </w:rPr>
        <w:t> </w:t>
      </w:r>
      <w:r>
        <w:rPr>
          <w:color w:val="231F20"/>
        </w:rPr>
        <w:t>unpalatable</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eyes</w:t>
      </w:r>
      <w:r>
        <w:rPr>
          <w:color w:val="231F20"/>
          <w:spacing w:val="-10"/>
        </w:rPr>
        <w:t> </w:t>
      </w:r>
      <w:r>
        <w:rPr>
          <w:color w:val="231F20"/>
        </w:rPr>
        <w:t>of</w:t>
      </w:r>
      <w:r>
        <w:rPr>
          <w:color w:val="231F20"/>
          <w:spacing w:val="-11"/>
        </w:rPr>
        <w:t> </w:t>
      </w:r>
      <w:r>
        <w:rPr>
          <w:color w:val="231F20"/>
        </w:rPr>
        <w:t>the</w:t>
      </w:r>
      <w:r>
        <w:rPr>
          <w:color w:val="231F20"/>
          <w:spacing w:val="-11"/>
        </w:rPr>
        <w:t> </w:t>
      </w:r>
      <w:r>
        <w:rPr>
          <w:color w:val="231F20"/>
        </w:rPr>
        <w:t>world.</w:t>
      </w:r>
    </w:p>
    <w:p>
      <w:pPr>
        <w:pStyle w:val="BodyText"/>
        <w:spacing w:before="11"/>
        <w:rPr>
          <w:rFonts w:ascii="Palatino Linotype"/>
          <w:sz w:val="25"/>
        </w:rPr>
      </w:pPr>
    </w:p>
    <w:p>
      <w:pPr>
        <w:pStyle w:val="Heading5"/>
        <w:spacing w:line="216" w:lineRule="auto"/>
        <w:ind w:left="773" w:right="792"/>
      </w:pPr>
      <w:r>
        <w:rPr>
          <w:color w:val="231F20"/>
        </w:rPr>
        <w:t>Our</w:t>
      </w:r>
      <w:r>
        <w:rPr>
          <w:color w:val="231F20"/>
          <w:spacing w:val="-7"/>
        </w:rPr>
        <w:t> </w:t>
      </w:r>
      <w:r>
        <w:rPr>
          <w:color w:val="231F20"/>
        </w:rPr>
        <w:t>faith</w:t>
      </w:r>
      <w:r>
        <w:rPr>
          <w:color w:val="231F20"/>
          <w:spacing w:val="-6"/>
        </w:rPr>
        <w:t> </w:t>
      </w:r>
      <w:r>
        <w:rPr>
          <w:color w:val="231F20"/>
        </w:rPr>
        <w:t>calls</w:t>
      </w:r>
      <w:r>
        <w:rPr>
          <w:color w:val="231F20"/>
          <w:spacing w:val="-6"/>
        </w:rPr>
        <w:t> </w:t>
      </w:r>
      <w:r>
        <w:rPr>
          <w:color w:val="231F20"/>
        </w:rPr>
        <w:t>upon</w:t>
      </w:r>
      <w:r>
        <w:rPr>
          <w:color w:val="231F20"/>
          <w:spacing w:val="-6"/>
        </w:rPr>
        <w:t> </w:t>
      </w:r>
      <w:r>
        <w:rPr>
          <w:color w:val="231F20"/>
        </w:rPr>
        <w:t>us</w:t>
      </w:r>
      <w:r>
        <w:rPr>
          <w:color w:val="231F20"/>
          <w:spacing w:val="-6"/>
        </w:rPr>
        <w:t> </w:t>
      </w:r>
      <w:r>
        <w:rPr>
          <w:color w:val="231F20"/>
        </w:rPr>
        <w:t>to</w:t>
      </w:r>
      <w:r>
        <w:rPr>
          <w:color w:val="231F20"/>
          <w:spacing w:val="-6"/>
        </w:rPr>
        <w:t> </w:t>
      </w:r>
      <w:r>
        <w:rPr>
          <w:color w:val="231F20"/>
        </w:rPr>
        <w:t>consider</w:t>
      </w:r>
      <w:r>
        <w:rPr>
          <w:color w:val="231F20"/>
          <w:spacing w:val="-6"/>
        </w:rPr>
        <w:t> </w:t>
      </w:r>
      <w:r>
        <w:rPr>
          <w:color w:val="231F20"/>
        </w:rPr>
        <w:t>marriage</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only</w:t>
      </w:r>
      <w:r>
        <w:rPr>
          <w:color w:val="231F20"/>
          <w:spacing w:val="-6"/>
        </w:rPr>
        <w:t> </w:t>
      </w:r>
      <w:r>
        <w:rPr>
          <w:color w:val="231F20"/>
        </w:rPr>
        <w:t>proper</w:t>
      </w:r>
      <w:r>
        <w:rPr>
          <w:color w:val="231F20"/>
          <w:spacing w:val="-6"/>
        </w:rPr>
        <w:t> </w:t>
      </w:r>
      <w:r>
        <w:rPr>
          <w:color w:val="231F20"/>
        </w:rPr>
        <w:t>state</w:t>
      </w:r>
      <w:r>
        <w:rPr>
          <w:color w:val="231F20"/>
          <w:spacing w:val="-6"/>
        </w:rPr>
        <w:t> </w:t>
      </w:r>
      <w:r>
        <w:rPr>
          <w:color w:val="231F20"/>
        </w:rPr>
        <w:t>in</w:t>
      </w:r>
      <w:r>
        <w:rPr>
          <w:color w:val="231F20"/>
          <w:spacing w:val="-6"/>
        </w:rPr>
        <w:t> </w:t>
      </w:r>
      <w:r>
        <w:rPr>
          <w:color w:val="231F20"/>
        </w:rPr>
        <w:t>which</w:t>
      </w:r>
      <w:r>
        <w:rPr>
          <w:color w:val="231F20"/>
          <w:spacing w:val="-6"/>
        </w:rPr>
        <w:t> </w:t>
      </w:r>
      <w:r>
        <w:rPr>
          <w:color w:val="231F20"/>
          <w:spacing w:val="-4"/>
        </w:rPr>
        <w:t>the </w:t>
      </w:r>
      <w:r>
        <w:rPr>
          <w:color w:val="231F20"/>
        </w:rPr>
        <w:t>sexual expression of love truly reﬂects its divine purpose. But thankfully, sexual intercourse</w:t>
      </w:r>
      <w:r>
        <w:rPr>
          <w:color w:val="231F20"/>
          <w:spacing w:val="-15"/>
        </w:rPr>
        <w:t> </w:t>
      </w:r>
      <w:r>
        <w:rPr>
          <w:color w:val="231F20"/>
        </w:rPr>
        <w:t>is</w:t>
      </w:r>
      <w:r>
        <w:rPr>
          <w:color w:val="231F20"/>
          <w:spacing w:val="-15"/>
        </w:rPr>
        <w:t> </w:t>
      </w:r>
      <w:r>
        <w:rPr>
          <w:color w:val="231F20"/>
        </w:rPr>
        <w:t>not</w:t>
      </w:r>
      <w:r>
        <w:rPr>
          <w:color w:val="231F20"/>
          <w:spacing w:val="-15"/>
        </w:rPr>
        <w:t> </w:t>
      </w:r>
      <w:r>
        <w:rPr>
          <w:color w:val="231F20"/>
        </w:rPr>
        <w:t>the</w:t>
      </w:r>
      <w:r>
        <w:rPr>
          <w:color w:val="231F20"/>
          <w:spacing w:val="-14"/>
        </w:rPr>
        <w:t> </w:t>
      </w:r>
      <w:r>
        <w:rPr>
          <w:color w:val="231F20"/>
        </w:rPr>
        <w:t>only</w:t>
      </w:r>
      <w:r>
        <w:rPr>
          <w:color w:val="231F20"/>
          <w:spacing w:val="-15"/>
        </w:rPr>
        <w:t> </w:t>
      </w:r>
      <w:r>
        <w:rPr>
          <w:color w:val="231F20"/>
          <w:spacing w:val="-3"/>
        </w:rPr>
        <w:t>way</w:t>
      </w:r>
      <w:r>
        <w:rPr>
          <w:color w:val="231F20"/>
          <w:spacing w:val="-15"/>
        </w:rPr>
        <w:t> </w:t>
      </w:r>
      <w:r>
        <w:rPr>
          <w:color w:val="231F20"/>
        </w:rPr>
        <w:t>to</w:t>
      </w:r>
      <w:r>
        <w:rPr>
          <w:color w:val="231F20"/>
          <w:spacing w:val="-14"/>
        </w:rPr>
        <w:t> </w:t>
      </w:r>
      <w:r>
        <w:rPr>
          <w:color w:val="231F20"/>
        </w:rPr>
        <w:t>express</w:t>
      </w:r>
      <w:r>
        <w:rPr>
          <w:color w:val="231F20"/>
          <w:spacing w:val="-15"/>
        </w:rPr>
        <w:t> </w:t>
      </w:r>
      <w:r>
        <w:rPr>
          <w:color w:val="231F20"/>
        </w:rPr>
        <w:t>our</w:t>
      </w:r>
      <w:r>
        <w:rPr>
          <w:color w:val="231F20"/>
          <w:spacing w:val="-15"/>
        </w:rPr>
        <w:t> </w:t>
      </w:r>
      <w:r>
        <w:rPr>
          <w:color w:val="231F20"/>
        </w:rPr>
        <w:t>devotedness,</w:t>
      </w:r>
      <w:r>
        <w:rPr>
          <w:color w:val="231F20"/>
          <w:spacing w:val="-15"/>
        </w:rPr>
        <w:t> </w:t>
      </w:r>
      <w:r>
        <w:rPr>
          <w:color w:val="231F20"/>
        </w:rPr>
        <w:t>nor</w:t>
      </w:r>
      <w:r>
        <w:rPr>
          <w:color w:val="231F20"/>
          <w:spacing w:val="-14"/>
        </w:rPr>
        <w:t> </w:t>
      </w:r>
      <w:r>
        <w:rPr>
          <w:color w:val="231F20"/>
        </w:rPr>
        <w:t>the</w:t>
      </w:r>
      <w:r>
        <w:rPr>
          <w:color w:val="231F20"/>
          <w:spacing w:val="-15"/>
        </w:rPr>
        <w:t> </w:t>
      </w:r>
      <w:r>
        <w:rPr>
          <w:color w:val="231F20"/>
        </w:rPr>
        <w:t>only</w:t>
      </w:r>
      <w:r>
        <w:rPr>
          <w:color w:val="231F20"/>
          <w:spacing w:val="-15"/>
        </w:rPr>
        <w:t> </w:t>
      </w:r>
      <w:r>
        <w:rPr>
          <w:color w:val="231F20"/>
        </w:rPr>
        <w:t>language to use as </w:t>
      </w:r>
      <w:r>
        <w:rPr>
          <w:color w:val="231F20"/>
          <w:spacing w:val="-3"/>
        </w:rPr>
        <w:t>we </w:t>
      </w:r>
      <w:r>
        <w:rPr>
          <w:color w:val="231F20"/>
        </w:rPr>
        <w:t>travel through life with someone whom </w:t>
      </w:r>
      <w:r>
        <w:rPr>
          <w:color w:val="231F20"/>
          <w:spacing w:val="-3"/>
        </w:rPr>
        <w:t>we</w:t>
      </w:r>
      <w:r>
        <w:rPr>
          <w:color w:val="231F20"/>
          <w:spacing w:val="1"/>
        </w:rPr>
        <w:t> </w:t>
      </w:r>
      <w:r>
        <w:rPr>
          <w:color w:val="231F20"/>
        </w:rPr>
        <w:t>love.</w:t>
      </w:r>
    </w:p>
    <w:p>
      <w:pPr>
        <w:spacing w:after="0" w:line="216" w:lineRule="auto"/>
        <w:sectPr>
          <w:headerReference w:type="default" r:id="rId161"/>
          <w:footerReference w:type="default" r:id="rId162"/>
          <w:pgSz w:w="11910" w:h="16840"/>
          <w:pgMar w:header="0" w:footer="1096" w:top="1500" w:bottom="1280" w:left="160" w:right="220"/>
          <w:pgNumType w:start="20"/>
        </w:sectPr>
      </w:pPr>
    </w:p>
    <w:p>
      <w:pPr>
        <w:pStyle w:val="Heading5"/>
        <w:spacing w:line="216" w:lineRule="auto" w:before="115"/>
        <w:ind w:left="786" w:right="776"/>
      </w:pPr>
      <w:r>
        <w:rPr>
          <w:color w:val="231F20"/>
        </w:rPr>
        <w:t>Lastly, almost as a crowning observation on the subject, we return to what was said at the beginning of this document: For us, marriage is a religious vocation. Moreover, between a baptised man and woman, marriage becomes a Sacrament, as it is well described in the opening prayer of the Catholic Rite of Marriage:</w:t>
      </w:r>
    </w:p>
    <w:p>
      <w:pPr>
        <w:pStyle w:val="Heading6"/>
        <w:spacing w:line="216" w:lineRule="auto" w:before="290"/>
        <w:ind w:left="3386" w:right="3361" w:firstLine="158"/>
        <w:jc w:val="both"/>
      </w:pPr>
      <w:r>
        <w:rPr>
          <w:i/>
          <w:color w:val="231F20"/>
        </w:rPr>
        <w:t>O God, who in creating the human race </w:t>
      </w:r>
      <w:r>
        <w:rPr>
          <w:color w:val="231F20"/>
        </w:rPr>
        <w:t>willed that man and wife should be one, join, </w:t>
      </w:r>
      <w:r>
        <w:rPr>
          <w:color w:val="231F20"/>
          <w:spacing w:val="-3"/>
        </w:rPr>
        <w:t>we </w:t>
      </w:r>
      <w:r>
        <w:rPr>
          <w:color w:val="231F20"/>
        </w:rPr>
        <w:t>pray, in a bond of inseparable </w:t>
      </w:r>
      <w:r>
        <w:rPr>
          <w:color w:val="231F20"/>
          <w:spacing w:val="-7"/>
        </w:rPr>
        <w:t>love</w:t>
      </w:r>
    </w:p>
    <w:p>
      <w:pPr>
        <w:pStyle w:val="Heading6"/>
        <w:spacing w:line="216" w:lineRule="auto" w:before="5"/>
        <w:ind w:left="1860" w:right="1835"/>
        <w:jc w:val="center"/>
      </w:pPr>
      <w:r>
        <w:rPr>
          <w:i/>
          <w:color w:val="231F20"/>
        </w:rPr>
        <w:t>these your servants who are to be united in the covenant of Marriage, </w:t>
      </w:r>
      <w:r>
        <w:rPr>
          <w:color w:val="231F20"/>
        </w:rPr>
        <w:t>so that, as you make their love fruitful,</w:t>
      </w:r>
    </w:p>
    <w:p>
      <w:pPr>
        <w:pStyle w:val="Heading6"/>
        <w:spacing w:line="351" w:lineRule="exact"/>
        <w:ind w:left="1299" w:right="1277"/>
        <w:jc w:val="center"/>
        <w:rPr>
          <w:i/>
        </w:rPr>
      </w:pPr>
      <w:r>
        <w:rPr>
          <w:i/>
          <w:color w:val="231F20"/>
        </w:rPr>
        <w:t>they may become, by your grace, witnesses to charity itself.</w:t>
      </w:r>
    </w:p>
    <w:p>
      <w:pPr>
        <w:pStyle w:val="BodyText"/>
        <w:spacing w:before="5"/>
        <w:rPr>
          <w:rFonts w:ascii="Palatino Linotype"/>
          <w:i/>
          <w:sz w:val="27"/>
        </w:rPr>
      </w:pPr>
    </w:p>
    <w:p>
      <w:pPr>
        <w:pStyle w:val="Heading5"/>
        <w:spacing w:line="216" w:lineRule="auto"/>
        <w:ind w:left="6303" w:right="791"/>
      </w:pPr>
      <w:r>
        <w:rPr/>
        <w:drawing>
          <wp:anchor distT="0" distB="0" distL="0" distR="0" allowOverlap="1" layoutInCell="1" locked="0" behindDoc="0" simplePos="0" relativeHeight="251686912">
            <wp:simplePos x="0" y="0"/>
            <wp:positionH relativeFrom="page">
              <wp:posOffset>589445</wp:posOffset>
            </wp:positionH>
            <wp:positionV relativeFrom="paragraph">
              <wp:posOffset>35708</wp:posOffset>
            </wp:positionV>
            <wp:extent cx="3345332" cy="3244684"/>
            <wp:effectExtent l="0" t="0" r="0" b="0"/>
            <wp:wrapNone/>
            <wp:docPr id="45" name="image20.jpeg"/>
            <wp:cNvGraphicFramePr>
              <a:graphicFrameLocks noChangeAspect="1"/>
            </wp:cNvGraphicFramePr>
            <a:graphic>
              <a:graphicData uri="http://schemas.openxmlformats.org/drawingml/2006/picture">
                <pic:pic>
                  <pic:nvPicPr>
                    <pic:cNvPr id="46" name="image20.jpeg"/>
                    <pic:cNvPicPr/>
                  </pic:nvPicPr>
                  <pic:blipFill>
                    <a:blip r:embed="rId165" cstate="print"/>
                    <a:stretch>
                      <a:fillRect/>
                    </a:stretch>
                  </pic:blipFill>
                  <pic:spPr>
                    <a:xfrm>
                      <a:off x="0" y="0"/>
                      <a:ext cx="3345332" cy="3244684"/>
                    </a:xfrm>
                    <a:prstGeom prst="rect">
                      <a:avLst/>
                    </a:prstGeom>
                  </pic:spPr>
                </pic:pic>
              </a:graphicData>
            </a:graphic>
          </wp:anchor>
        </w:drawing>
      </w:r>
      <w:r>
        <w:rPr>
          <w:color w:val="231F20"/>
        </w:rPr>
        <w:t>This prayer describes marriage as </w:t>
      </w:r>
      <w:r>
        <w:rPr>
          <w:color w:val="231F20"/>
          <w:spacing w:val="-14"/>
        </w:rPr>
        <w:t>a </w:t>
      </w:r>
      <w:r>
        <w:rPr>
          <w:color w:val="231F20"/>
        </w:rPr>
        <w:t>‘covenant’</w:t>
      </w:r>
      <w:r>
        <w:rPr>
          <w:color w:val="231F20"/>
          <w:spacing w:val="-17"/>
        </w:rPr>
        <w:t> </w:t>
      </w:r>
      <w:r>
        <w:rPr>
          <w:color w:val="231F20"/>
        </w:rPr>
        <w:t>where</w:t>
      </w:r>
      <w:r>
        <w:rPr>
          <w:color w:val="231F20"/>
          <w:spacing w:val="-16"/>
        </w:rPr>
        <w:t> </w:t>
      </w:r>
      <w:r>
        <w:rPr>
          <w:color w:val="231F20"/>
        </w:rPr>
        <w:t>the</w:t>
      </w:r>
      <w:r>
        <w:rPr>
          <w:color w:val="231F20"/>
          <w:spacing w:val="-17"/>
        </w:rPr>
        <w:t> </w:t>
      </w:r>
      <w:r>
        <w:rPr>
          <w:color w:val="231F20"/>
        </w:rPr>
        <w:t>couple</w:t>
      </w:r>
      <w:r>
        <w:rPr>
          <w:color w:val="231F20"/>
          <w:spacing w:val="-16"/>
        </w:rPr>
        <w:t> </w:t>
      </w:r>
      <w:r>
        <w:rPr>
          <w:color w:val="231F20"/>
          <w:spacing w:val="-4"/>
        </w:rPr>
        <w:t>become </w:t>
      </w:r>
      <w:r>
        <w:rPr>
          <w:color w:val="231F20"/>
        </w:rPr>
        <w:t>a Sacramental sign pointing to </w:t>
      </w:r>
      <w:r>
        <w:rPr>
          <w:color w:val="231F20"/>
          <w:spacing w:val="-4"/>
        </w:rPr>
        <w:t>both </w:t>
      </w:r>
      <w:r>
        <w:rPr>
          <w:color w:val="231F20"/>
        </w:rPr>
        <w:t>our origin and our fulﬁlment: backwards to the orginal desire of God that 'man and wife should be one' so that their love can bear </w:t>
      </w:r>
      <w:r>
        <w:rPr>
          <w:color w:val="231F20"/>
          <w:spacing w:val="-3"/>
        </w:rPr>
        <w:t>fruit, </w:t>
      </w:r>
      <w:r>
        <w:rPr>
          <w:color w:val="231F20"/>
        </w:rPr>
        <w:t>and forwards to the prospect of bearing witness to charity itself. </w:t>
      </w:r>
      <w:r>
        <w:rPr>
          <w:color w:val="231F20"/>
          <w:spacing w:val="-7"/>
        </w:rPr>
        <w:t>In </w:t>
      </w:r>
      <w:r>
        <w:rPr>
          <w:color w:val="231F20"/>
        </w:rPr>
        <w:t>Christian Marriage this quality of love is raised to the level of a Sacrament, but whether or not we are married, and whatever our </w:t>
      </w:r>
      <w:r>
        <w:rPr>
          <w:color w:val="231F20"/>
          <w:spacing w:val="-3"/>
        </w:rPr>
        <w:t>state </w:t>
      </w:r>
      <w:r>
        <w:rPr>
          <w:color w:val="231F20"/>
        </w:rPr>
        <w:t>in life, all of us are called to</w:t>
      </w:r>
      <w:r>
        <w:rPr>
          <w:color w:val="231F20"/>
          <w:spacing w:val="-36"/>
        </w:rPr>
        <w:t> </w:t>
      </w:r>
      <w:r>
        <w:rPr>
          <w:color w:val="231F20"/>
          <w:spacing w:val="-3"/>
        </w:rPr>
        <w:t>'become </w:t>
      </w:r>
      <w:r>
        <w:rPr>
          <w:color w:val="231F20"/>
        </w:rPr>
        <w:t>witnesses to charity itself’.</w:t>
      </w:r>
    </w:p>
    <w:p>
      <w:pPr>
        <w:pStyle w:val="Heading8"/>
        <w:spacing w:before="158"/>
        <w:ind w:left="780"/>
        <w:jc w:val="both"/>
        <w:rPr>
          <w:rFonts w:ascii="Palatino Linotype"/>
        </w:rPr>
      </w:pPr>
      <w:r>
        <w:rPr>
          <w:rFonts w:ascii="Palatino Linotype"/>
          <w:color w:val="231F20"/>
        </w:rPr>
        <w:t>Washing of the Feet, Giotto, Scrovegni Chapel</w:t>
      </w:r>
    </w:p>
    <w:p>
      <w:pPr>
        <w:pStyle w:val="Heading5"/>
        <w:spacing w:line="216" w:lineRule="auto" w:before="185"/>
        <w:ind w:left="774" w:right="771"/>
      </w:pPr>
      <w:r>
        <w:rPr>
          <w:color w:val="231F20"/>
        </w:rPr>
        <w:t>All of us are called to fulﬁl our own God-given vocation in one way or another and grow more like the God who made us and redeemed us by His grace.</w:t>
      </w:r>
    </w:p>
    <w:p>
      <w:pPr>
        <w:pStyle w:val="BodyText"/>
        <w:spacing w:before="7"/>
        <w:rPr>
          <w:rFonts w:ascii="Palatino Linotype"/>
          <w:sz w:val="25"/>
        </w:rPr>
      </w:pPr>
    </w:p>
    <w:p>
      <w:pPr>
        <w:pStyle w:val="Heading5"/>
        <w:spacing w:line="216" w:lineRule="auto"/>
        <w:ind w:left="773" w:right="771"/>
      </w:pPr>
      <w:r>
        <w:rPr>
          <w:color w:val="231F20"/>
        </w:rPr>
        <w:t>Finally, we return to what must always be in the forefront of any Catholic RSE programme:</w:t>
      </w:r>
      <w:r>
        <w:rPr>
          <w:color w:val="231F20"/>
          <w:spacing w:val="-10"/>
        </w:rPr>
        <w:t> </w:t>
      </w:r>
      <w:r>
        <w:rPr>
          <w:color w:val="231F20"/>
        </w:rPr>
        <w:t>it</w:t>
      </w:r>
      <w:r>
        <w:rPr>
          <w:color w:val="231F20"/>
          <w:spacing w:val="-10"/>
        </w:rPr>
        <w:t> </w:t>
      </w:r>
      <w:r>
        <w:rPr>
          <w:color w:val="231F20"/>
        </w:rPr>
        <w:t>is</w:t>
      </w:r>
      <w:r>
        <w:rPr>
          <w:color w:val="231F20"/>
          <w:spacing w:val="-9"/>
        </w:rPr>
        <w:t> </w:t>
      </w:r>
      <w:r>
        <w:rPr>
          <w:color w:val="231F20"/>
        </w:rPr>
        <w:t>God</w:t>
      </w:r>
      <w:r>
        <w:rPr>
          <w:color w:val="231F20"/>
          <w:spacing w:val="-10"/>
        </w:rPr>
        <w:t> </w:t>
      </w:r>
      <w:r>
        <w:rPr>
          <w:color w:val="231F20"/>
        </w:rPr>
        <w:t>who</w:t>
      </w:r>
      <w:r>
        <w:rPr>
          <w:color w:val="231F20"/>
          <w:spacing w:val="-9"/>
        </w:rPr>
        <w:t> </w:t>
      </w:r>
      <w:r>
        <w:rPr>
          <w:color w:val="231F20"/>
        </w:rPr>
        <w:t>provides</w:t>
      </w:r>
      <w:r>
        <w:rPr>
          <w:color w:val="231F20"/>
          <w:spacing w:val="-10"/>
        </w:rPr>
        <w:t> </w:t>
      </w:r>
      <w:r>
        <w:rPr>
          <w:color w:val="231F20"/>
        </w:rPr>
        <w:t>us</w:t>
      </w:r>
      <w:r>
        <w:rPr>
          <w:color w:val="231F20"/>
          <w:spacing w:val="-9"/>
        </w:rPr>
        <w:t> </w:t>
      </w:r>
      <w:r>
        <w:rPr>
          <w:color w:val="231F20"/>
        </w:rPr>
        <w:t>with</w:t>
      </w:r>
      <w:r>
        <w:rPr>
          <w:color w:val="231F20"/>
          <w:spacing w:val="-10"/>
        </w:rPr>
        <w:t> </w:t>
      </w:r>
      <w:r>
        <w:rPr>
          <w:color w:val="231F20"/>
        </w:rPr>
        <w:t>our</w:t>
      </w:r>
      <w:r>
        <w:rPr>
          <w:color w:val="231F20"/>
          <w:spacing w:val="-9"/>
        </w:rPr>
        <w:t> </w:t>
      </w:r>
      <w:r>
        <w:rPr>
          <w:color w:val="231F20"/>
        </w:rPr>
        <w:t>deﬁnition</w:t>
      </w:r>
      <w:r>
        <w:rPr>
          <w:color w:val="231F20"/>
          <w:spacing w:val="-10"/>
        </w:rPr>
        <w:t> </w:t>
      </w:r>
      <w:r>
        <w:rPr>
          <w:color w:val="231F20"/>
        </w:rPr>
        <w:t>of</w:t>
      </w:r>
      <w:r>
        <w:rPr>
          <w:color w:val="231F20"/>
          <w:spacing w:val="-10"/>
        </w:rPr>
        <w:t> </w:t>
      </w:r>
      <w:r>
        <w:rPr>
          <w:color w:val="231F20"/>
        </w:rPr>
        <w:t>the</w:t>
      </w:r>
      <w:r>
        <w:rPr>
          <w:color w:val="231F20"/>
          <w:spacing w:val="-9"/>
        </w:rPr>
        <w:t> </w:t>
      </w:r>
      <w:r>
        <w:rPr>
          <w:color w:val="231F20"/>
        </w:rPr>
        <w:t>word</w:t>
      </w:r>
      <w:r>
        <w:rPr>
          <w:color w:val="231F20"/>
          <w:spacing w:val="-10"/>
        </w:rPr>
        <w:t> </w:t>
      </w:r>
      <w:r>
        <w:rPr>
          <w:color w:val="231F20"/>
        </w:rPr>
        <w:t>‘love’,</w:t>
      </w:r>
      <w:r>
        <w:rPr>
          <w:color w:val="231F20"/>
          <w:spacing w:val="-9"/>
        </w:rPr>
        <w:t> </w:t>
      </w:r>
      <w:r>
        <w:rPr>
          <w:color w:val="231F20"/>
        </w:rPr>
        <w:t>and by</w:t>
      </w:r>
      <w:r>
        <w:rPr>
          <w:color w:val="231F20"/>
          <w:spacing w:val="-16"/>
        </w:rPr>
        <w:t> </w:t>
      </w:r>
      <w:r>
        <w:rPr>
          <w:color w:val="231F20"/>
        </w:rPr>
        <w:t>His</w:t>
      </w:r>
      <w:r>
        <w:rPr>
          <w:color w:val="231F20"/>
          <w:spacing w:val="-16"/>
        </w:rPr>
        <w:t> </w:t>
      </w:r>
      <w:r>
        <w:rPr>
          <w:color w:val="231F20"/>
        </w:rPr>
        <w:t>grace</w:t>
      </w:r>
      <w:r>
        <w:rPr>
          <w:color w:val="231F20"/>
          <w:spacing w:val="-16"/>
        </w:rPr>
        <w:t> </w:t>
      </w:r>
      <w:r>
        <w:rPr>
          <w:color w:val="231F20"/>
          <w:spacing w:val="-4"/>
        </w:rPr>
        <w:t>we</w:t>
      </w:r>
      <w:r>
        <w:rPr>
          <w:color w:val="231F20"/>
          <w:spacing w:val="-16"/>
        </w:rPr>
        <w:t> </w:t>
      </w:r>
      <w:r>
        <w:rPr>
          <w:color w:val="231F20"/>
          <w:spacing w:val="-3"/>
        </w:rPr>
        <w:t>receive</w:t>
      </w:r>
      <w:r>
        <w:rPr>
          <w:color w:val="231F20"/>
          <w:spacing w:val="-16"/>
        </w:rPr>
        <w:t> </w:t>
      </w:r>
      <w:r>
        <w:rPr>
          <w:color w:val="231F20"/>
        </w:rPr>
        <w:t>the</w:t>
      </w:r>
      <w:r>
        <w:rPr>
          <w:color w:val="231F20"/>
          <w:spacing w:val="-16"/>
        </w:rPr>
        <w:t> </w:t>
      </w:r>
      <w:r>
        <w:rPr>
          <w:color w:val="231F20"/>
        </w:rPr>
        <w:t>means</w:t>
      </w:r>
      <w:r>
        <w:rPr>
          <w:color w:val="231F20"/>
          <w:spacing w:val="-16"/>
        </w:rPr>
        <w:t> </w:t>
      </w:r>
      <w:r>
        <w:rPr>
          <w:color w:val="231F20"/>
        </w:rPr>
        <w:t>to</w:t>
      </w:r>
      <w:r>
        <w:rPr>
          <w:color w:val="231F20"/>
          <w:spacing w:val="-16"/>
        </w:rPr>
        <w:t> </w:t>
      </w:r>
      <w:r>
        <w:rPr>
          <w:color w:val="231F20"/>
        </w:rPr>
        <w:t>make</w:t>
      </w:r>
      <w:r>
        <w:rPr>
          <w:color w:val="231F20"/>
          <w:spacing w:val="-16"/>
        </w:rPr>
        <w:t> </w:t>
      </w:r>
      <w:r>
        <w:rPr>
          <w:color w:val="231F20"/>
        </w:rPr>
        <w:t>that</w:t>
      </w:r>
      <w:r>
        <w:rPr>
          <w:color w:val="231F20"/>
          <w:spacing w:val="-16"/>
        </w:rPr>
        <w:t> </w:t>
      </w:r>
      <w:r>
        <w:rPr>
          <w:color w:val="231F20"/>
        </w:rPr>
        <w:t>deﬁnition</w:t>
      </w:r>
      <w:r>
        <w:rPr>
          <w:color w:val="231F20"/>
          <w:spacing w:val="-16"/>
        </w:rPr>
        <w:t> </w:t>
      </w:r>
      <w:r>
        <w:rPr>
          <w:color w:val="231F20"/>
          <w:spacing w:val="-3"/>
        </w:rPr>
        <w:t>descriptive</w:t>
      </w:r>
      <w:r>
        <w:rPr>
          <w:color w:val="231F20"/>
          <w:spacing w:val="-16"/>
        </w:rPr>
        <w:t> </w:t>
      </w:r>
      <w:r>
        <w:rPr>
          <w:color w:val="231F20"/>
        </w:rPr>
        <w:t>of</w:t>
      </w:r>
      <w:r>
        <w:rPr>
          <w:color w:val="231F20"/>
          <w:spacing w:val="-16"/>
        </w:rPr>
        <w:t> </w:t>
      </w:r>
      <w:r>
        <w:rPr>
          <w:color w:val="231F20"/>
        </w:rPr>
        <w:t>our</w:t>
      </w:r>
      <w:r>
        <w:rPr>
          <w:color w:val="231F20"/>
          <w:spacing w:val="-16"/>
        </w:rPr>
        <w:t> </w:t>
      </w:r>
      <w:r>
        <w:rPr>
          <w:color w:val="231F20"/>
        </w:rPr>
        <w:t>feeble attempts to love as he</w:t>
      </w:r>
      <w:r>
        <w:rPr>
          <w:color w:val="231F20"/>
          <w:spacing w:val="-1"/>
        </w:rPr>
        <w:t> </w:t>
      </w:r>
      <w:r>
        <w:rPr>
          <w:color w:val="231F20"/>
        </w:rPr>
        <w:t>loves:</w:t>
      </w:r>
    </w:p>
    <w:p>
      <w:pPr>
        <w:pStyle w:val="Heading6"/>
        <w:spacing w:line="216" w:lineRule="auto" w:before="54"/>
        <w:ind w:left="1858" w:right="863" w:firstLine="2514"/>
      </w:pPr>
      <w:r>
        <w:rPr>
          <w:i/>
          <w:color w:val="231F20"/>
          <w:spacing w:val="-10"/>
        </w:rPr>
        <w:t>We </w:t>
      </w:r>
      <w:r>
        <w:rPr>
          <w:i/>
          <w:color w:val="231F20"/>
        </w:rPr>
        <w:t>have known and believe the love that God has</w:t>
      </w:r>
      <w:r>
        <w:rPr>
          <w:i/>
          <w:color w:val="231F20"/>
          <w:spacing w:val="-10"/>
        </w:rPr>
        <w:t> </w:t>
      </w:r>
      <w:r>
        <w:rPr>
          <w:i/>
          <w:color w:val="231F20"/>
        </w:rPr>
        <w:t>for</w:t>
      </w:r>
      <w:r>
        <w:rPr>
          <w:i/>
          <w:color w:val="231F20"/>
          <w:spacing w:val="-2"/>
        </w:rPr>
        <w:t> </w:t>
      </w:r>
      <w:r>
        <w:rPr>
          <w:i/>
          <w:color w:val="231F20"/>
        </w:rPr>
        <w:t>us.</w:t>
      </w:r>
      <w:r>
        <w:rPr>
          <w:color w:val="231F20"/>
        </w:rPr>
        <w:t> God is love, and those who abide in love abide in God, and God abides in</w:t>
      </w:r>
      <w:r>
        <w:rPr>
          <w:color w:val="231F20"/>
          <w:spacing w:val="-22"/>
        </w:rPr>
        <w:t> </w:t>
      </w:r>
      <w:r>
        <w:rPr>
          <w:color w:val="231F20"/>
        </w:rPr>
        <w:t>them.</w:t>
      </w:r>
    </w:p>
    <w:p>
      <w:pPr>
        <w:pStyle w:val="Heading5"/>
        <w:spacing w:line="351" w:lineRule="exact"/>
        <w:ind w:right="863"/>
        <w:jc w:val="right"/>
      </w:pPr>
      <w:r>
        <w:rPr>
          <w:color w:val="231F20"/>
        </w:rPr>
        <w:t>1 John 4:16</w:t>
      </w:r>
    </w:p>
    <w:p>
      <w:pPr>
        <w:spacing w:after="0" w:line="351" w:lineRule="exact"/>
        <w:jc w:val="right"/>
        <w:sectPr>
          <w:headerReference w:type="default" r:id="rId163"/>
          <w:footerReference w:type="default" r:id="rId164"/>
          <w:pgSz w:w="11910" w:h="16840"/>
          <w:pgMar w:header="0" w:footer="1096" w:top="1540" w:bottom="1280" w:left="160" w:right="220"/>
          <w:pgNumType w:start="21"/>
        </w:sectPr>
      </w:pPr>
    </w:p>
    <w:p>
      <w:pPr>
        <w:spacing w:before="76"/>
        <w:ind w:left="747" w:right="0" w:firstLine="0"/>
        <w:jc w:val="left"/>
        <w:rPr>
          <w:rFonts w:ascii="Palatino Linotype"/>
          <w:sz w:val="48"/>
        </w:rPr>
      </w:pPr>
      <w:r>
        <w:rPr>
          <w:rFonts w:ascii="Palatino Linotype"/>
          <w:color w:val="008790"/>
          <w:sz w:val="48"/>
        </w:rPr>
        <w:t>conclusion</w:t>
      </w:r>
    </w:p>
    <w:p>
      <w:pPr>
        <w:pStyle w:val="Heading5"/>
        <w:spacing w:line="216" w:lineRule="auto" w:before="391"/>
        <w:ind w:left="777" w:right="781"/>
      </w:pPr>
      <w:r>
        <w:rPr>
          <w:color w:val="231F20"/>
        </w:rPr>
        <w:t>Pope Francis challenges us to ﬁnd 'a new and more appropriate language in introducing children and adolescents to the topic of sexuality'. It is a challenge which we take up readily, because we have to provide a counter-example to the values which often prevail in our sexualised culture, where sexual prowess and conquest is presented as a desire to be attaned. The message of Christ in contrast is already written within us, and with the help of God’s grace can indeed be achieved.</w:t>
      </w:r>
    </w:p>
    <w:p>
      <w:pPr>
        <w:pStyle w:val="BodyText"/>
        <w:rPr>
          <w:rFonts w:ascii="Palatino Linotype"/>
          <w:sz w:val="26"/>
        </w:rPr>
      </w:pPr>
    </w:p>
    <w:p>
      <w:pPr>
        <w:pStyle w:val="Heading5"/>
        <w:spacing w:line="216" w:lineRule="auto"/>
        <w:ind w:left="777" w:right="708"/>
        <w:jc w:val="left"/>
      </w:pPr>
      <w:r>
        <w:rPr>
          <w:color w:val="231F20"/>
        </w:rPr>
        <w:t>In our RSE programmes we shouldn't be afraid to acknowledge that our own Christian values can also seem to present a remote, unattainable ideal, but there is a great diﬀerence: our values are grounded in reality and imbued with forgiveness.</w:t>
      </w:r>
    </w:p>
    <w:p>
      <w:pPr>
        <w:pStyle w:val="Heading6"/>
        <w:spacing w:line="216" w:lineRule="auto" w:before="120"/>
        <w:ind w:left="4768" w:right="781" w:hanging="1143"/>
      </w:pPr>
      <w:r>
        <w:rPr>
          <w:i/>
          <w:color w:val="231F20"/>
        </w:rPr>
        <w:t>Here is a saying that you can rely on and nobody</w:t>
      </w:r>
      <w:r>
        <w:rPr>
          <w:i/>
          <w:color w:val="231F20"/>
          <w:spacing w:val="1"/>
        </w:rPr>
        <w:t> </w:t>
      </w:r>
      <w:r>
        <w:rPr>
          <w:i/>
          <w:color w:val="231F20"/>
        </w:rPr>
        <w:t>should </w:t>
      </w:r>
      <w:r>
        <w:rPr>
          <w:i/>
          <w:color w:val="231F20"/>
          <w:spacing w:val="-3"/>
        </w:rPr>
        <w:t>doubt:</w:t>
      </w:r>
      <w:r>
        <w:rPr>
          <w:color w:val="231F20"/>
        </w:rPr>
        <w:t> that Christ Jesus came into the world to save</w:t>
      </w:r>
      <w:r>
        <w:rPr>
          <w:color w:val="231F20"/>
          <w:spacing w:val="1"/>
        </w:rPr>
        <w:t> </w:t>
      </w:r>
      <w:r>
        <w:rPr>
          <w:color w:val="231F20"/>
          <w:spacing w:val="-3"/>
        </w:rPr>
        <w:t>sinners.</w:t>
      </w:r>
    </w:p>
    <w:p>
      <w:pPr>
        <w:pStyle w:val="Heading6"/>
        <w:spacing w:line="333" w:lineRule="exact"/>
        <w:ind w:right="781"/>
        <w:rPr>
          <w:i/>
        </w:rPr>
      </w:pPr>
      <w:r>
        <w:rPr>
          <w:i/>
          <w:color w:val="231F20"/>
        </w:rPr>
        <w:t>I myself am the greatest of them.</w:t>
      </w:r>
    </w:p>
    <w:p>
      <w:pPr>
        <w:pStyle w:val="Heading5"/>
        <w:spacing w:line="360" w:lineRule="exact"/>
        <w:ind w:right="781"/>
        <w:jc w:val="right"/>
      </w:pPr>
      <w:r>
        <w:rPr>
          <w:color w:val="231F20"/>
        </w:rPr>
        <w:t>1 Timothy 1:15</w:t>
      </w:r>
    </w:p>
    <w:p>
      <w:pPr>
        <w:pStyle w:val="Heading5"/>
        <w:spacing w:before="109"/>
        <w:ind w:left="777"/>
      </w:pPr>
      <w:r>
        <w:rPr>
          <w:color w:val="231F20"/>
        </w:rPr>
        <w:t>All of us can make those words from St. Paul to Timothy our own.</w:t>
      </w:r>
    </w:p>
    <w:p>
      <w:pPr>
        <w:pStyle w:val="Heading5"/>
        <w:spacing w:line="216" w:lineRule="auto" w:before="335"/>
        <w:ind w:left="777" w:right="781"/>
      </w:pPr>
      <w:r>
        <w:rPr>
          <w:color w:val="231F20"/>
        </w:rPr>
        <w:t>As</w:t>
      </w:r>
      <w:r>
        <w:rPr>
          <w:color w:val="231F20"/>
          <w:spacing w:val="-9"/>
        </w:rPr>
        <w:t> </w:t>
      </w:r>
      <w:r>
        <w:rPr>
          <w:color w:val="231F20"/>
          <w:spacing w:val="-3"/>
        </w:rPr>
        <w:t>we</w:t>
      </w:r>
      <w:r>
        <w:rPr>
          <w:color w:val="231F20"/>
          <w:spacing w:val="-8"/>
        </w:rPr>
        <w:t> </w:t>
      </w:r>
      <w:r>
        <w:rPr>
          <w:color w:val="231F20"/>
        </w:rPr>
        <w:t>boldly</w:t>
      </w:r>
      <w:r>
        <w:rPr>
          <w:color w:val="231F20"/>
          <w:spacing w:val="-8"/>
        </w:rPr>
        <w:t> </w:t>
      </w:r>
      <w:r>
        <w:rPr>
          <w:color w:val="231F20"/>
        </w:rPr>
        <w:t>aim</w:t>
      </w:r>
      <w:r>
        <w:rPr>
          <w:color w:val="231F20"/>
          <w:spacing w:val="-8"/>
        </w:rPr>
        <w:t> </w:t>
      </w:r>
      <w:r>
        <w:rPr>
          <w:color w:val="231F20"/>
        </w:rPr>
        <w:t>to</w:t>
      </w:r>
      <w:r>
        <w:rPr>
          <w:color w:val="231F20"/>
          <w:spacing w:val="-8"/>
        </w:rPr>
        <w:t> </w:t>
      </w:r>
      <w:r>
        <w:rPr>
          <w:color w:val="231F20"/>
        </w:rPr>
        <w:t>make</w:t>
      </w:r>
      <w:r>
        <w:rPr>
          <w:color w:val="231F20"/>
          <w:spacing w:val="-8"/>
        </w:rPr>
        <w:t> </w:t>
      </w:r>
      <w:r>
        <w:rPr>
          <w:color w:val="231F20"/>
        </w:rPr>
        <w:t>God's</w:t>
      </w:r>
      <w:r>
        <w:rPr>
          <w:color w:val="231F20"/>
          <w:spacing w:val="-9"/>
        </w:rPr>
        <w:t> </w:t>
      </w:r>
      <w:r>
        <w:rPr>
          <w:color w:val="231F20"/>
        </w:rPr>
        <w:t>deﬁnition</w:t>
      </w:r>
      <w:r>
        <w:rPr>
          <w:color w:val="231F20"/>
          <w:spacing w:val="-8"/>
        </w:rPr>
        <w:t> </w:t>
      </w:r>
      <w:r>
        <w:rPr>
          <w:color w:val="231F20"/>
        </w:rPr>
        <w:t>of</w:t>
      </w:r>
      <w:r>
        <w:rPr>
          <w:color w:val="231F20"/>
          <w:spacing w:val="-8"/>
        </w:rPr>
        <w:t> </w:t>
      </w:r>
      <w:r>
        <w:rPr>
          <w:color w:val="231F20"/>
        </w:rPr>
        <w:t>love</w:t>
      </w:r>
      <w:r>
        <w:rPr>
          <w:color w:val="231F20"/>
          <w:spacing w:val="-8"/>
        </w:rPr>
        <w:t> </w:t>
      </w:r>
      <w:r>
        <w:rPr>
          <w:color w:val="231F20"/>
        </w:rPr>
        <w:t>our</w:t>
      </w:r>
      <w:r>
        <w:rPr>
          <w:color w:val="231F20"/>
          <w:spacing w:val="-8"/>
        </w:rPr>
        <w:t> </w:t>
      </w:r>
      <w:r>
        <w:rPr>
          <w:color w:val="231F20"/>
        </w:rPr>
        <w:t>own,</w:t>
      </w:r>
      <w:r>
        <w:rPr>
          <w:color w:val="231F20"/>
          <w:spacing w:val="-8"/>
        </w:rPr>
        <w:t> </w:t>
      </w:r>
      <w:r>
        <w:rPr>
          <w:color w:val="231F20"/>
        </w:rPr>
        <w:t>all</w:t>
      </w:r>
      <w:r>
        <w:rPr>
          <w:color w:val="231F20"/>
          <w:spacing w:val="-8"/>
        </w:rPr>
        <w:t> </w:t>
      </w:r>
      <w:r>
        <w:rPr>
          <w:color w:val="231F20"/>
        </w:rPr>
        <w:t>of</w:t>
      </w:r>
      <w:r>
        <w:rPr>
          <w:color w:val="231F20"/>
          <w:spacing w:val="-9"/>
        </w:rPr>
        <w:t> </w:t>
      </w:r>
      <w:r>
        <w:rPr>
          <w:color w:val="231F20"/>
        </w:rPr>
        <w:t>us</w:t>
      </w:r>
      <w:r>
        <w:rPr>
          <w:color w:val="231F20"/>
          <w:spacing w:val="-8"/>
        </w:rPr>
        <w:t> </w:t>
      </w:r>
      <w:r>
        <w:rPr>
          <w:color w:val="231F20"/>
        </w:rPr>
        <w:t>are</w:t>
      </w:r>
      <w:r>
        <w:rPr>
          <w:color w:val="231F20"/>
          <w:spacing w:val="-8"/>
        </w:rPr>
        <w:t> </w:t>
      </w:r>
      <w:r>
        <w:rPr>
          <w:color w:val="231F20"/>
        </w:rPr>
        <w:t>bound</w:t>
      </w:r>
      <w:r>
        <w:rPr>
          <w:color w:val="231F20"/>
          <w:spacing w:val="-8"/>
        </w:rPr>
        <w:t> </w:t>
      </w:r>
      <w:r>
        <w:rPr>
          <w:color w:val="231F20"/>
          <w:spacing w:val="-6"/>
        </w:rPr>
        <w:t>to </w:t>
      </w:r>
      <w:r>
        <w:rPr>
          <w:color w:val="231F20"/>
        </w:rPr>
        <w:t>fall</w:t>
      </w:r>
      <w:r>
        <w:rPr>
          <w:color w:val="231F20"/>
          <w:spacing w:val="-19"/>
        </w:rPr>
        <w:t> </w:t>
      </w:r>
      <w:r>
        <w:rPr>
          <w:color w:val="231F20"/>
        </w:rPr>
        <w:t>short.</w:t>
      </w:r>
      <w:r>
        <w:rPr>
          <w:color w:val="231F20"/>
          <w:spacing w:val="-19"/>
        </w:rPr>
        <w:t> </w:t>
      </w:r>
      <w:r>
        <w:rPr>
          <w:color w:val="231F20"/>
        </w:rPr>
        <w:t>But</w:t>
      </w:r>
      <w:r>
        <w:rPr>
          <w:color w:val="231F20"/>
          <w:spacing w:val="-19"/>
        </w:rPr>
        <w:t> </w:t>
      </w:r>
      <w:r>
        <w:rPr>
          <w:color w:val="231F20"/>
        </w:rPr>
        <w:t>with</w:t>
      </w:r>
      <w:r>
        <w:rPr>
          <w:color w:val="231F20"/>
          <w:spacing w:val="-19"/>
        </w:rPr>
        <w:t> </w:t>
      </w:r>
      <w:r>
        <w:rPr>
          <w:color w:val="231F20"/>
          <w:spacing w:val="-3"/>
        </w:rPr>
        <w:t>every</w:t>
      </w:r>
      <w:r>
        <w:rPr>
          <w:color w:val="231F20"/>
          <w:spacing w:val="-19"/>
        </w:rPr>
        <w:t> </w:t>
      </w:r>
      <w:r>
        <w:rPr>
          <w:color w:val="231F20"/>
        </w:rPr>
        <w:t>fall,</w:t>
      </w:r>
      <w:r>
        <w:rPr>
          <w:color w:val="231F20"/>
          <w:spacing w:val="-18"/>
        </w:rPr>
        <w:t> </w:t>
      </w:r>
      <w:r>
        <w:rPr>
          <w:color w:val="231F20"/>
          <w:spacing w:val="-4"/>
        </w:rPr>
        <w:t>we</w:t>
      </w:r>
      <w:r>
        <w:rPr>
          <w:color w:val="231F20"/>
          <w:spacing w:val="-19"/>
        </w:rPr>
        <w:t> </w:t>
      </w:r>
      <w:r>
        <w:rPr>
          <w:color w:val="231F20"/>
          <w:spacing w:val="-3"/>
        </w:rPr>
        <w:t>give</w:t>
      </w:r>
      <w:r>
        <w:rPr>
          <w:color w:val="231F20"/>
          <w:spacing w:val="-19"/>
        </w:rPr>
        <w:t> </w:t>
      </w:r>
      <w:r>
        <w:rPr>
          <w:color w:val="231F20"/>
        </w:rPr>
        <w:t>Christ</w:t>
      </w:r>
      <w:r>
        <w:rPr>
          <w:color w:val="231F20"/>
          <w:spacing w:val="-19"/>
        </w:rPr>
        <w:t> </w:t>
      </w:r>
      <w:r>
        <w:rPr>
          <w:color w:val="231F20"/>
        </w:rPr>
        <w:t>the</w:t>
      </w:r>
      <w:r>
        <w:rPr>
          <w:color w:val="231F20"/>
          <w:spacing w:val="-19"/>
        </w:rPr>
        <w:t> </w:t>
      </w:r>
      <w:r>
        <w:rPr>
          <w:color w:val="231F20"/>
        </w:rPr>
        <w:t>opportunity</w:t>
      </w:r>
      <w:r>
        <w:rPr>
          <w:color w:val="231F20"/>
          <w:spacing w:val="-18"/>
        </w:rPr>
        <w:t> </w:t>
      </w:r>
      <w:r>
        <w:rPr>
          <w:color w:val="231F20"/>
        </w:rPr>
        <w:t>to</w:t>
      </w:r>
      <w:r>
        <w:rPr>
          <w:color w:val="231F20"/>
          <w:spacing w:val="-19"/>
        </w:rPr>
        <w:t> </w:t>
      </w:r>
      <w:r>
        <w:rPr>
          <w:color w:val="231F20"/>
        </w:rPr>
        <w:t>help</w:t>
      </w:r>
      <w:r>
        <w:rPr>
          <w:color w:val="231F20"/>
          <w:spacing w:val="-19"/>
        </w:rPr>
        <w:t> </w:t>
      </w:r>
      <w:r>
        <w:rPr>
          <w:color w:val="231F20"/>
        </w:rPr>
        <w:t>us</w:t>
      </w:r>
      <w:r>
        <w:rPr>
          <w:color w:val="231F20"/>
          <w:spacing w:val="-19"/>
        </w:rPr>
        <w:t> </w:t>
      </w:r>
      <w:r>
        <w:rPr>
          <w:color w:val="231F20"/>
        </w:rPr>
        <w:t>start</w:t>
      </w:r>
      <w:r>
        <w:rPr>
          <w:color w:val="231F20"/>
          <w:spacing w:val="-19"/>
        </w:rPr>
        <w:t> </w:t>
      </w:r>
      <w:r>
        <w:rPr>
          <w:color w:val="231F20"/>
        </w:rPr>
        <w:t>again, and travel ‘arm in arm’ with us as </w:t>
      </w:r>
      <w:r>
        <w:rPr>
          <w:color w:val="231F20"/>
          <w:spacing w:val="-3"/>
        </w:rPr>
        <w:t>we </w:t>
      </w:r>
      <w:r>
        <w:rPr>
          <w:color w:val="231F20"/>
        </w:rPr>
        <w:t>journey through life, as do the couple in </w:t>
      </w:r>
      <w:r>
        <w:rPr>
          <w:color w:val="231F20"/>
          <w:spacing w:val="-7"/>
        </w:rPr>
        <w:t>Van </w:t>
      </w:r>
      <w:r>
        <w:rPr>
          <w:color w:val="231F20"/>
        </w:rPr>
        <w:t>Gogh's painting. </w:t>
      </w:r>
      <w:r>
        <w:rPr>
          <w:color w:val="231F20"/>
          <w:spacing w:val="-9"/>
        </w:rPr>
        <w:t>We </w:t>
      </w:r>
      <w:r>
        <w:rPr>
          <w:color w:val="231F20"/>
        </w:rPr>
        <w:t>ﬁnish with the words which are used to close </w:t>
      </w:r>
      <w:r>
        <w:rPr>
          <w:i/>
          <w:color w:val="231F20"/>
        </w:rPr>
        <w:t>Amoris </w:t>
      </w:r>
      <w:r>
        <w:rPr>
          <w:i/>
          <w:color w:val="231F20"/>
        </w:rPr>
        <w:t>Laetitia</w:t>
      </w:r>
      <w:r>
        <w:rPr>
          <w:color w:val="231F20"/>
        </w:rPr>
        <w:t>.</w:t>
      </w:r>
    </w:p>
    <w:p>
      <w:pPr>
        <w:pStyle w:val="BodyText"/>
        <w:spacing w:before="12"/>
        <w:rPr>
          <w:rFonts w:ascii="Palatino Linotype"/>
          <w:sz w:val="29"/>
        </w:rPr>
      </w:pPr>
    </w:p>
    <w:p>
      <w:pPr>
        <w:pStyle w:val="Heading6"/>
        <w:spacing w:line="360" w:lineRule="exact"/>
        <w:ind w:right="782"/>
        <w:rPr>
          <w:i/>
        </w:rPr>
      </w:pPr>
      <w:r>
        <w:rPr>
          <w:i/>
          <w:color w:val="231F20"/>
        </w:rPr>
        <w:t>May </w:t>
      </w:r>
      <w:r>
        <w:rPr>
          <w:i/>
          <w:color w:val="231F20"/>
          <w:spacing w:val="-3"/>
        </w:rPr>
        <w:t>we </w:t>
      </w:r>
      <w:r>
        <w:rPr>
          <w:i/>
          <w:color w:val="231F20"/>
        </w:rPr>
        <w:t>never lose heart because of our limiations, or ever stop seeking that</w:t>
      </w:r>
      <w:r>
        <w:rPr>
          <w:i/>
          <w:color w:val="231F20"/>
          <w:spacing w:val="-6"/>
        </w:rPr>
        <w:t> </w:t>
      </w:r>
      <w:r>
        <w:rPr>
          <w:i/>
          <w:color w:val="231F20"/>
        </w:rPr>
        <w:t>fullness</w:t>
      </w:r>
    </w:p>
    <w:p>
      <w:pPr>
        <w:pStyle w:val="Heading6"/>
        <w:spacing w:line="341" w:lineRule="exact"/>
        <w:ind w:right="782"/>
        <w:rPr>
          <w:i/>
        </w:rPr>
      </w:pPr>
      <w:r>
        <w:rPr>
          <w:i/>
          <w:color w:val="231F20"/>
        </w:rPr>
        <w:t>of love and communion which God holds out before</w:t>
      </w:r>
      <w:r>
        <w:rPr>
          <w:i/>
          <w:color w:val="231F20"/>
          <w:spacing w:val="-5"/>
        </w:rPr>
        <w:t> </w:t>
      </w:r>
      <w:r>
        <w:rPr>
          <w:i/>
          <w:color w:val="231F20"/>
        </w:rPr>
        <w:t>us.</w:t>
      </w:r>
    </w:p>
    <w:p>
      <w:pPr>
        <w:pStyle w:val="Heading5"/>
        <w:spacing w:line="360" w:lineRule="exact"/>
        <w:ind w:right="782"/>
        <w:jc w:val="right"/>
      </w:pPr>
      <w:r>
        <w:rPr>
          <w:color w:val="231F20"/>
        </w:rPr>
        <w:t>AL 325</w:t>
      </w:r>
    </w:p>
    <w:p>
      <w:pPr>
        <w:spacing w:line="616" w:lineRule="exact" w:before="333"/>
        <w:ind w:left="0" w:right="781" w:firstLine="0"/>
        <w:jc w:val="right"/>
        <w:rPr>
          <w:rFonts w:ascii="Palatino Linotype" w:hAnsi="Palatino Linotype"/>
          <w:b/>
          <w:i/>
          <w:sz w:val="48"/>
        </w:rPr>
      </w:pPr>
      <w:r>
        <w:rPr>
          <w:rFonts w:ascii="Palatino Linotype" w:hAnsi="Palatino Linotype"/>
          <w:b/>
          <w:i/>
          <w:color w:val="008790"/>
          <w:sz w:val="48"/>
        </w:rPr>
        <w:t>“Our </w:t>
      </w:r>
      <w:r>
        <w:rPr>
          <w:rFonts w:ascii="Palatino Linotype" w:hAnsi="Palatino Linotype"/>
          <w:b/>
          <w:i/>
          <w:color w:val="008790"/>
          <w:spacing w:val="-3"/>
          <w:sz w:val="48"/>
        </w:rPr>
        <w:t>values </w:t>
      </w:r>
      <w:r>
        <w:rPr>
          <w:rFonts w:ascii="Palatino Linotype" w:hAnsi="Palatino Linotype"/>
          <w:b/>
          <w:i/>
          <w:color w:val="008790"/>
          <w:sz w:val="48"/>
        </w:rPr>
        <w:t>are grounded in reality</w:t>
      </w:r>
      <w:r>
        <w:rPr>
          <w:rFonts w:ascii="Palatino Linotype" w:hAnsi="Palatino Linotype"/>
          <w:b/>
          <w:i/>
          <w:color w:val="008790"/>
          <w:spacing w:val="3"/>
          <w:sz w:val="48"/>
        </w:rPr>
        <w:t> </w:t>
      </w:r>
      <w:r>
        <w:rPr>
          <w:rFonts w:ascii="Palatino Linotype" w:hAnsi="Palatino Linotype"/>
          <w:b/>
          <w:i/>
          <w:color w:val="008790"/>
          <w:sz w:val="48"/>
        </w:rPr>
        <w:t>and</w:t>
      </w:r>
    </w:p>
    <w:p>
      <w:pPr>
        <w:spacing w:line="616" w:lineRule="exact" w:before="0"/>
        <w:ind w:left="0" w:right="781" w:firstLine="0"/>
        <w:jc w:val="right"/>
        <w:rPr>
          <w:rFonts w:ascii="Palatino Linotype" w:hAnsi="Palatino Linotype"/>
          <w:b/>
          <w:i/>
          <w:sz w:val="48"/>
        </w:rPr>
      </w:pPr>
      <w:r>
        <w:rPr>
          <w:rFonts w:ascii="Palatino Linotype" w:hAnsi="Palatino Linotype"/>
          <w:b/>
          <w:i/>
          <w:color w:val="008790"/>
          <w:sz w:val="48"/>
        </w:rPr>
        <w:t>imbued with</w:t>
      </w:r>
      <w:r>
        <w:rPr>
          <w:rFonts w:ascii="Palatino Linotype" w:hAnsi="Palatino Linotype"/>
          <w:b/>
          <w:i/>
          <w:color w:val="008790"/>
          <w:spacing w:val="-9"/>
          <w:sz w:val="48"/>
        </w:rPr>
        <w:t> </w:t>
      </w:r>
      <w:r>
        <w:rPr>
          <w:rFonts w:ascii="Palatino Linotype" w:hAnsi="Palatino Linotype"/>
          <w:b/>
          <w:i/>
          <w:color w:val="008790"/>
          <w:sz w:val="48"/>
        </w:rPr>
        <w:t>forgiveness.”</w:t>
      </w:r>
    </w:p>
    <w:p>
      <w:pPr>
        <w:spacing w:after="0" w:line="616" w:lineRule="exact"/>
        <w:jc w:val="right"/>
        <w:rPr>
          <w:rFonts w:ascii="Palatino Linotype" w:hAnsi="Palatino Linotype"/>
          <w:sz w:val="48"/>
        </w:rPr>
        <w:sectPr>
          <w:headerReference w:type="default" r:id="rId166"/>
          <w:footerReference w:type="default" r:id="rId167"/>
          <w:pgSz w:w="11910" w:h="16840"/>
          <w:pgMar w:header="0" w:footer="1136" w:top="880" w:bottom="1320" w:left="160" w:right="220"/>
          <w:pgNumType w:start="22"/>
        </w:sectPr>
      </w:pPr>
    </w:p>
    <w:p>
      <w:pPr>
        <w:spacing w:before="83"/>
        <w:ind w:left="791" w:right="0" w:firstLine="0"/>
        <w:jc w:val="left"/>
        <w:rPr>
          <w:rFonts w:ascii="Palatino Linotype"/>
          <w:sz w:val="48"/>
        </w:rPr>
      </w:pPr>
      <w:r>
        <w:rPr>
          <w:rFonts w:ascii="Palatino Linotype"/>
          <w:color w:val="008790"/>
          <w:sz w:val="48"/>
        </w:rPr>
        <w:t>further reading</w:t>
      </w:r>
    </w:p>
    <w:p>
      <w:pPr>
        <w:pStyle w:val="Heading5"/>
        <w:spacing w:line="216" w:lineRule="auto" w:before="152"/>
        <w:ind w:left="777"/>
        <w:jc w:val="left"/>
      </w:pPr>
      <w:r>
        <w:rPr>
          <w:color w:val="231F20"/>
        </w:rPr>
        <w:t>In addition to the ‘Catechism of the Catholic Church’, there follows a selection of resources for further reference:</w:t>
      </w:r>
    </w:p>
    <w:p>
      <w:pPr>
        <w:spacing w:before="315"/>
        <w:ind w:left="777" w:right="0" w:firstLine="0"/>
        <w:jc w:val="left"/>
        <w:rPr>
          <w:rFonts w:ascii="Palatino Linotype"/>
          <w:b/>
          <w:sz w:val="28"/>
        </w:rPr>
      </w:pPr>
      <w:r>
        <w:rPr>
          <w:rFonts w:ascii="Palatino Linotype"/>
          <w:b/>
          <w:color w:val="008790"/>
          <w:sz w:val="28"/>
        </w:rPr>
        <w:t>introduction</w:t>
      </w:r>
    </w:p>
    <w:p>
      <w:pPr>
        <w:pStyle w:val="Heading5"/>
        <w:spacing w:line="360" w:lineRule="exact" w:before="305"/>
        <w:ind w:left="777"/>
        <w:jc w:val="left"/>
      </w:pPr>
      <w:r>
        <w:rPr>
          <w:color w:val="231F20"/>
        </w:rPr>
        <w:t>On the importance of RSE:</w:t>
      </w:r>
    </w:p>
    <w:p>
      <w:pPr>
        <w:spacing w:line="341" w:lineRule="exact" w:before="0"/>
        <w:ind w:left="1497" w:right="0" w:firstLine="0"/>
        <w:jc w:val="left"/>
        <w:rPr>
          <w:rFonts w:ascii="Palatino Linotype"/>
          <w:sz w:val="28"/>
        </w:rPr>
      </w:pPr>
      <w:r>
        <w:rPr>
          <w:rFonts w:ascii="Palatino Linotype"/>
          <w:color w:val="231F20"/>
          <w:sz w:val="28"/>
        </w:rPr>
        <w:t>Bl. Pope Paul VI, </w:t>
      </w:r>
      <w:r>
        <w:rPr>
          <w:rFonts w:ascii="Palatino Linotype"/>
          <w:i/>
          <w:color w:val="231F20"/>
          <w:sz w:val="28"/>
        </w:rPr>
        <w:t>Gravissimum Educationis </w:t>
      </w:r>
      <w:r>
        <w:rPr>
          <w:rFonts w:ascii="Palatino Linotype"/>
          <w:color w:val="231F20"/>
          <w:sz w:val="28"/>
        </w:rPr>
        <w:t>1.</w:t>
      </w:r>
    </w:p>
    <w:p>
      <w:pPr>
        <w:spacing w:line="216" w:lineRule="auto" w:before="11"/>
        <w:ind w:left="1497" w:right="1064" w:firstLine="0"/>
        <w:jc w:val="left"/>
        <w:rPr>
          <w:rFonts w:ascii="Palatino Linotype"/>
          <w:sz w:val="28"/>
        </w:rPr>
      </w:pPr>
      <w:r>
        <w:rPr>
          <w:rFonts w:ascii="Palatino Linotype"/>
          <w:color w:val="231F20"/>
          <w:sz w:val="28"/>
        </w:rPr>
        <w:t>The Sacred Congregation for Catholic Education, </w:t>
      </w:r>
      <w:r>
        <w:rPr>
          <w:rFonts w:ascii="Palatino Linotype"/>
          <w:i/>
          <w:color w:val="231F20"/>
          <w:sz w:val="28"/>
        </w:rPr>
        <w:t>Educational Guidance in </w:t>
      </w:r>
      <w:r>
        <w:rPr>
          <w:rFonts w:ascii="Palatino Linotype"/>
          <w:i/>
          <w:color w:val="231F20"/>
          <w:sz w:val="28"/>
        </w:rPr>
        <w:t>Human Love </w:t>
      </w:r>
      <w:r>
        <w:rPr>
          <w:rFonts w:ascii="Palatino Linotype"/>
          <w:color w:val="231F20"/>
          <w:sz w:val="28"/>
        </w:rPr>
        <w:t>12, 34-35.</w:t>
      </w:r>
    </w:p>
    <w:p>
      <w:pPr>
        <w:spacing w:line="216" w:lineRule="auto" w:before="3"/>
        <w:ind w:left="1497" w:right="1344" w:firstLine="0"/>
        <w:jc w:val="left"/>
        <w:rPr>
          <w:rFonts w:ascii="Palatino Linotype" w:hAnsi="Palatino Linotype"/>
          <w:i/>
          <w:sz w:val="28"/>
        </w:rPr>
      </w:pPr>
      <w:r>
        <w:rPr>
          <w:rFonts w:ascii="Palatino Linotype" w:hAnsi="Palatino Linotype"/>
          <w:color w:val="231F20"/>
          <w:sz w:val="28"/>
        </w:rPr>
        <w:t>The Pontiﬁcal Council for the Family, </w:t>
      </w:r>
      <w:r>
        <w:rPr>
          <w:rFonts w:ascii="Palatino Linotype" w:hAnsi="Palatino Linotype"/>
          <w:i/>
          <w:color w:val="231F20"/>
          <w:sz w:val="28"/>
        </w:rPr>
        <w:t>The Truth and Meaning of Human </w:t>
      </w:r>
      <w:r>
        <w:rPr>
          <w:rFonts w:ascii="Palatino Linotype" w:hAnsi="Palatino Linotype"/>
          <w:i/>
          <w:color w:val="231F20"/>
          <w:sz w:val="28"/>
        </w:rPr>
        <w:t>Sexuality.</w:t>
      </w:r>
    </w:p>
    <w:p>
      <w:pPr>
        <w:pStyle w:val="BodyText"/>
        <w:spacing w:before="7"/>
        <w:rPr>
          <w:rFonts w:ascii="Palatino Linotype"/>
          <w:i/>
          <w:sz w:val="25"/>
        </w:rPr>
      </w:pPr>
    </w:p>
    <w:p>
      <w:pPr>
        <w:spacing w:line="216" w:lineRule="auto" w:before="0"/>
        <w:ind w:left="1497" w:right="1314" w:hanging="720"/>
        <w:jc w:val="left"/>
        <w:rPr>
          <w:rFonts w:ascii="Palatino Linotype" w:hAnsi="Palatino Linotype"/>
          <w:i/>
          <w:sz w:val="28"/>
        </w:rPr>
      </w:pPr>
      <w:r>
        <w:rPr>
          <w:rFonts w:ascii="Palatino Linotype" w:hAnsi="Palatino Linotype"/>
          <w:color w:val="231F20"/>
          <w:sz w:val="28"/>
        </w:rPr>
        <w:t>On the need to have a positive presentation of the church’s teaching on sex Pope Benedict XVI, </w:t>
      </w:r>
      <w:r>
        <w:rPr>
          <w:rFonts w:ascii="Palatino Linotype" w:hAnsi="Palatino Linotype"/>
          <w:i/>
          <w:color w:val="231F20"/>
          <w:sz w:val="28"/>
        </w:rPr>
        <w:t>Interview Of The Holy Father Benedict XVI In Prepara </w:t>
      </w:r>
      <w:r>
        <w:rPr>
          <w:rFonts w:ascii="Palatino Linotype" w:hAnsi="Palatino Linotype"/>
          <w:i/>
          <w:color w:val="231F20"/>
          <w:sz w:val="28"/>
        </w:rPr>
        <w:t>tion For The Upcoming Journey To Bavaria 2006.</w:t>
      </w:r>
    </w:p>
    <w:p>
      <w:pPr>
        <w:pStyle w:val="Heading5"/>
        <w:spacing w:line="360" w:lineRule="exact" w:before="316"/>
        <w:ind w:left="777"/>
        <w:jc w:val="left"/>
      </w:pPr>
      <w:r>
        <w:rPr>
          <w:color w:val="231F20"/>
        </w:rPr>
        <w:t>On the dignity of the human person:</w:t>
      </w:r>
    </w:p>
    <w:p>
      <w:pPr>
        <w:spacing w:line="216" w:lineRule="auto" w:before="11"/>
        <w:ind w:left="1497" w:right="3599" w:firstLine="0"/>
        <w:jc w:val="left"/>
        <w:rPr>
          <w:rFonts w:ascii="Palatino Linotype"/>
          <w:sz w:val="28"/>
        </w:rPr>
      </w:pPr>
      <w:r>
        <w:rPr>
          <w:rFonts w:ascii="Palatino Linotype"/>
          <w:color w:val="231F20"/>
          <w:sz w:val="28"/>
        </w:rPr>
        <w:t>Saint Pope John Paul II (JPII), </w:t>
      </w:r>
      <w:r>
        <w:rPr>
          <w:rFonts w:ascii="Palatino Linotype"/>
          <w:i/>
          <w:color w:val="231F20"/>
          <w:sz w:val="28"/>
        </w:rPr>
        <w:t>Evangelium Vitae </w:t>
      </w:r>
      <w:r>
        <w:rPr>
          <w:rFonts w:ascii="Palatino Linotype"/>
          <w:color w:val="231F20"/>
          <w:sz w:val="28"/>
        </w:rPr>
        <w:t>2. JPII </w:t>
      </w:r>
      <w:r>
        <w:rPr>
          <w:rFonts w:ascii="Palatino Linotype"/>
          <w:i/>
          <w:color w:val="231F20"/>
          <w:sz w:val="28"/>
        </w:rPr>
        <w:t>Letter to Families 1994 - Gratissimam Sane </w:t>
      </w:r>
      <w:r>
        <w:rPr>
          <w:rFonts w:ascii="Palatino Linotype"/>
          <w:color w:val="231F20"/>
          <w:sz w:val="28"/>
        </w:rPr>
        <w:t>6.</w:t>
      </w:r>
    </w:p>
    <w:p>
      <w:pPr>
        <w:spacing w:before="315"/>
        <w:ind w:left="777" w:right="0" w:firstLine="0"/>
        <w:jc w:val="left"/>
        <w:rPr>
          <w:rFonts w:ascii="Palatino Linotype"/>
          <w:b/>
          <w:sz w:val="28"/>
        </w:rPr>
      </w:pPr>
      <w:r>
        <w:rPr>
          <w:rFonts w:ascii="Palatino Linotype"/>
          <w:b/>
          <w:color w:val="008790"/>
          <w:sz w:val="28"/>
        </w:rPr>
        <w:t>incomplete identity</w:t>
      </w:r>
    </w:p>
    <w:p>
      <w:pPr>
        <w:pStyle w:val="Heading5"/>
        <w:spacing w:line="360" w:lineRule="exact" w:before="305"/>
        <w:ind w:left="777"/>
        <w:jc w:val="left"/>
      </w:pPr>
      <w:r>
        <w:rPr>
          <w:color w:val="231F20"/>
        </w:rPr>
        <w:t>On the mystery of man:</w:t>
      </w:r>
    </w:p>
    <w:p>
      <w:pPr>
        <w:spacing w:line="341" w:lineRule="exact" w:before="0"/>
        <w:ind w:left="1497" w:right="0" w:firstLine="0"/>
        <w:jc w:val="left"/>
        <w:rPr>
          <w:rFonts w:ascii="Palatino Linotype"/>
          <w:sz w:val="28"/>
        </w:rPr>
      </w:pPr>
      <w:r>
        <w:rPr>
          <w:rFonts w:ascii="Palatino Linotype"/>
          <w:i/>
          <w:color w:val="231F20"/>
          <w:sz w:val="28"/>
        </w:rPr>
        <w:t>Gaudium et Spes (GS) </w:t>
      </w:r>
      <w:r>
        <w:rPr>
          <w:rFonts w:ascii="Palatino Linotype"/>
          <w:color w:val="231F20"/>
          <w:sz w:val="28"/>
        </w:rPr>
        <w:t>22,24.</w:t>
      </w:r>
    </w:p>
    <w:p>
      <w:pPr>
        <w:spacing w:line="360" w:lineRule="exact" w:before="0"/>
        <w:ind w:left="1497" w:right="0" w:firstLine="0"/>
        <w:jc w:val="left"/>
        <w:rPr>
          <w:rFonts w:ascii="Palatino Linotype"/>
          <w:sz w:val="28"/>
        </w:rPr>
      </w:pPr>
      <w:r>
        <w:rPr>
          <w:rFonts w:ascii="Palatino Linotype"/>
          <w:color w:val="231F20"/>
          <w:sz w:val="28"/>
        </w:rPr>
        <w:t>JPII, </w:t>
      </w:r>
      <w:r>
        <w:rPr>
          <w:rFonts w:ascii="Palatino Linotype"/>
          <w:i/>
          <w:color w:val="231F20"/>
          <w:sz w:val="28"/>
        </w:rPr>
        <w:t>Familiaris Consortio (FC) </w:t>
      </w:r>
      <w:r>
        <w:rPr>
          <w:rFonts w:ascii="Palatino Linotype"/>
          <w:color w:val="231F20"/>
          <w:sz w:val="28"/>
        </w:rPr>
        <w:t>11.</w:t>
      </w:r>
    </w:p>
    <w:p>
      <w:pPr>
        <w:pStyle w:val="Heading5"/>
        <w:spacing w:line="360" w:lineRule="exact" w:before="305"/>
        <w:ind w:left="777"/>
        <w:jc w:val="left"/>
      </w:pPr>
      <w:r>
        <w:rPr>
          <w:color w:val="231F20"/>
        </w:rPr>
        <w:t>On marriage as a vocation:</w:t>
      </w:r>
    </w:p>
    <w:p>
      <w:pPr>
        <w:spacing w:line="341" w:lineRule="exact" w:before="0"/>
        <w:ind w:left="1497" w:right="0" w:firstLine="0"/>
        <w:jc w:val="left"/>
        <w:rPr>
          <w:rFonts w:ascii="Palatino Linotype"/>
          <w:sz w:val="28"/>
        </w:rPr>
      </w:pPr>
      <w:r>
        <w:rPr>
          <w:rFonts w:ascii="Palatino Linotype"/>
          <w:color w:val="231F20"/>
          <w:sz w:val="28"/>
        </w:rPr>
        <w:t>Bl.Pope Paul VI </w:t>
      </w:r>
      <w:r>
        <w:rPr>
          <w:rFonts w:ascii="Palatino Linotype"/>
          <w:i/>
          <w:color w:val="231F20"/>
          <w:sz w:val="28"/>
        </w:rPr>
        <w:t>Humane Vitae </w:t>
      </w:r>
      <w:r>
        <w:rPr>
          <w:rFonts w:ascii="Palatino Linotype"/>
          <w:color w:val="231F20"/>
          <w:sz w:val="28"/>
        </w:rPr>
        <w:t>8.</w:t>
      </w:r>
    </w:p>
    <w:p>
      <w:pPr>
        <w:spacing w:line="360" w:lineRule="exact" w:before="0"/>
        <w:ind w:left="1497" w:right="0" w:firstLine="0"/>
        <w:jc w:val="left"/>
        <w:rPr>
          <w:rFonts w:ascii="Palatino Linotype"/>
          <w:sz w:val="28"/>
        </w:rPr>
      </w:pPr>
      <w:r>
        <w:rPr>
          <w:rFonts w:ascii="Palatino Linotype"/>
          <w:i/>
          <w:color w:val="231F20"/>
          <w:sz w:val="28"/>
        </w:rPr>
        <w:t>THMS </w:t>
      </w:r>
      <w:r>
        <w:rPr>
          <w:rFonts w:ascii="Palatino Linotype"/>
          <w:color w:val="231F20"/>
          <w:sz w:val="28"/>
        </w:rPr>
        <w:t>26-30.</w:t>
      </w:r>
    </w:p>
    <w:p>
      <w:pPr>
        <w:pStyle w:val="Heading5"/>
        <w:spacing w:line="360" w:lineRule="exact" w:before="305"/>
        <w:ind w:left="777"/>
        <w:jc w:val="left"/>
      </w:pPr>
      <w:r>
        <w:rPr>
          <w:color w:val="231F20"/>
        </w:rPr>
        <w:t>On fostering the nobility of marriage and the family:</w:t>
      </w:r>
    </w:p>
    <w:p>
      <w:pPr>
        <w:spacing w:line="360" w:lineRule="exact" w:before="0"/>
        <w:ind w:left="1497" w:right="0" w:firstLine="0"/>
        <w:jc w:val="left"/>
        <w:rPr>
          <w:rFonts w:ascii="Palatino Linotype"/>
          <w:sz w:val="28"/>
        </w:rPr>
      </w:pPr>
      <w:r>
        <w:rPr>
          <w:rFonts w:ascii="Palatino Linotype"/>
          <w:i/>
          <w:color w:val="231F20"/>
          <w:sz w:val="28"/>
        </w:rPr>
        <w:t>Gaudiem et Spes </w:t>
      </w:r>
      <w:r>
        <w:rPr>
          <w:rFonts w:ascii="Palatino Linotype"/>
          <w:color w:val="231F20"/>
          <w:sz w:val="28"/>
        </w:rPr>
        <w:t>47-52.</w:t>
      </w:r>
    </w:p>
    <w:p>
      <w:pPr>
        <w:pStyle w:val="Heading5"/>
        <w:spacing w:line="360" w:lineRule="exact" w:before="306"/>
        <w:ind w:left="777"/>
        <w:jc w:val="left"/>
      </w:pPr>
      <w:r>
        <w:rPr>
          <w:color w:val="231F20"/>
        </w:rPr>
        <w:t>On the communion of love in marriage:</w:t>
      </w:r>
    </w:p>
    <w:p>
      <w:pPr>
        <w:spacing w:line="360" w:lineRule="exact" w:before="0"/>
        <w:ind w:left="1497" w:right="0" w:firstLine="0"/>
        <w:jc w:val="left"/>
        <w:rPr>
          <w:rFonts w:ascii="Palatino Linotype"/>
          <w:sz w:val="28"/>
        </w:rPr>
      </w:pPr>
      <w:r>
        <w:rPr>
          <w:rFonts w:ascii="Palatino Linotype"/>
          <w:i/>
          <w:color w:val="231F20"/>
          <w:sz w:val="28"/>
        </w:rPr>
        <w:t>Familiaris Consortio </w:t>
      </w:r>
      <w:r>
        <w:rPr>
          <w:rFonts w:ascii="Palatino Linotype"/>
          <w:color w:val="231F20"/>
          <w:sz w:val="28"/>
        </w:rPr>
        <w:t>18-21.</w:t>
      </w:r>
    </w:p>
    <w:p>
      <w:pPr>
        <w:pStyle w:val="Heading5"/>
        <w:spacing w:line="360" w:lineRule="exact" w:before="305"/>
        <w:ind w:left="777"/>
        <w:jc w:val="left"/>
      </w:pPr>
      <w:r>
        <w:rPr>
          <w:color w:val="231F20"/>
        </w:rPr>
        <w:t>On marriage and family:</w:t>
      </w:r>
    </w:p>
    <w:p>
      <w:pPr>
        <w:spacing w:line="360" w:lineRule="exact" w:before="0"/>
        <w:ind w:left="1497" w:right="0" w:firstLine="0"/>
        <w:jc w:val="left"/>
        <w:rPr>
          <w:rFonts w:ascii="Palatino Linotype"/>
          <w:sz w:val="28"/>
        </w:rPr>
      </w:pPr>
      <w:r>
        <w:rPr>
          <w:rFonts w:ascii="Palatino Linotype"/>
          <w:color w:val="231F20"/>
          <w:sz w:val="28"/>
        </w:rPr>
        <w:t>JPII </w:t>
      </w:r>
      <w:r>
        <w:rPr>
          <w:rFonts w:ascii="Palatino Linotype"/>
          <w:i/>
          <w:color w:val="231F20"/>
          <w:sz w:val="28"/>
        </w:rPr>
        <w:t>Letter to Families </w:t>
      </w:r>
      <w:r>
        <w:rPr>
          <w:rFonts w:ascii="Palatino Linotype"/>
          <w:color w:val="231F20"/>
          <w:sz w:val="28"/>
        </w:rPr>
        <w:t>7-10.</w:t>
      </w:r>
    </w:p>
    <w:p>
      <w:pPr>
        <w:pStyle w:val="Heading5"/>
        <w:spacing w:line="360" w:lineRule="exact" w:before="305"/>
        <w:ind w:left="777"/>
        <w:jc w:val="left"/>
      </w:pPr>
      <w:r>
        <w:rPr>
          <w:color w:val="231F20"/>
        </w:rPr>
        <w:t>On children in the family:</w:t>
      </w:r>
    </w:p>
    <w:p>
      <w:pPr>
        <w:pStyle w:val="Heading6"/>
        <w:spacing w:line="360" w:lineRule="exact"/>
        <w:ind w:left="1497" w:right="0"/>
        <w:jc w:val="left"/>
        <w:rPr>
          <w:i w:val="0"/>
        </w:rPr>
      </w:pPr>
      <w:r>
        <w:rPr>
          <w:i/>
          <w:color w:val="231F20"/>
        </w:rPr>
        <w:t>Gaudium et Spes </w:t>
      </w:r>
      <w:r>
        <w:rPr>
          <w:i w:val="0"/>
          <w:color w:val="231F20"/>
        </w:rPr>
        <w:t>50.</w:t>
      </w:r>
    </w:p>
    <w:p>
      <w:pPr>
        <w:spacing w:after="0" w:line="360" w:lineRule="exact"/>
        <w:jc w:val="left"/>
        <w:sectPr>
          <w:headerReference w:type="default" r:id="rId168"/>
          <w:footerReference w:type="default" r:id="rId169"/>
          <w:pgSz w:w="11910" w:h="16840"/>
          <w:pgMar w:header="0" w:footer="826" w:top="660" w:bottom="1020" w:left="160" w:right="220"/>
          <w:pgNumType w:start="23"/>
        </w:sectPr>
      </w:pPr>
    </w:p>
    <w:p>
      <w:pPr>
        <w:pStyle w:val="BodyText"/>
        <w:spacing w:before="7"/>
        <w:rPr>
          <w:rFonts w:ascii="Palatino Linotype"/>
          <w:sz w:val="20"/>
        </w:rPr>
      </w:pPr>
    </w:p>
    <w:p>
      <w:pPr>
        <w:spacing w:line="216" w:lineRule="auto" w:before="129"/>
        <w:ind w:left="1395" w:right="6142" w:hanging="720"/>
        <w:jc w:val="left"/>
        <w:rPr>
          <w:rFonts w:ascii="Palatino Linotype"/>
          <w:sz w:val="28"/>
        </w:rPr>
      </w:pPr>
      <w:r>
        <w:rPr>
          <w:rFonts w:ascii="Palatino Linotype"/>
          <w:color w:val="231F20"/>
          <w:sz w:val="28"/>
        </w:rPr>
        <w:t>On love involving the whole person: Benedict XVI, </w:t>
      </w:r>
      <w:r>
        <w:rPr>
          <w:rFonts w:ascii="Palatino Linotype"/>
          <w:i/>
          <w:color w:val="231F20"/>
          <w:sz w:val="28"/>
        </w:rPr>
        <w:t>Deus Caritas Est </w:t>
      </w:r>
      <w:r>
        <w:rPr>
          <w:rFonts w:ascii="Palatino Linotype"/>
          <w:color w:val="231F20"/>
          <w:sz w:val="28"/>
        </w:rPr>
        <w:t>5.</w:t>
      </w:r>
    </w:p>
    <w:p>
      <w:pPr>
        <w:pStyle w:val="BodyText"/>
        <w:spacing w:before="7"/>
        <w:rPr>
          <w:rFonts w:ascii="Palatino Linotype"/>
          <w:sz w:val="25"/>
        </w:rPr>
      </w:pPr>
    </w:p>
    <w:p>
      <w:pPr>
        <w:spacing w:line="216" w:lineRule="auto" w:before="0"/>
        <w:ind w:left="1395" w:right="4630" w:hanging="720"/>
        <w:jc w:val="left"/>
        <w:rPr>
          <w:rFonts w:ascii="Palatino Linotype" w:hAnsi="Palatino Linotype"/>
          <w:sz w:val="28"/>
        </w:rPr>
      </w:pPr>
      <w:r>
        <w:rPr>
          <w:rFonts w:ascii="Palatino Linotype" w:hAnsi="Palatino Linotype"/>
          <w:color w:val="231F20"/>
          <w:sz w:val="28"/>
        </w:rPr>
        <w:t>On family as the ﬁrst place of education in prayer: JPII </w:t>
      </w:r>
      <w:r>
        <w:rPr>
          <w:rFonts w:ascii="Palatino Linotype" w:hAnsi="Palatino Linotype"/>
          <w:i/>
          <w:color w:val="231F20"/>
          <w:sz w:val="28"/>
        </w:rPr>
        <w:t>Letter to Families </w:t>
      </w:r>
      <w:r>
        <w:rPr>
          <w:rFonts w:ascii="Palatino Linotype" w:hAnsi="Palatino Linotype"/>
          <w:color w:val="231F20"/>
          <w:sz w:val="28"/>
        </w:rPr>
        <w:t>4.</w:t>
      </w:r>
    </w:p>
    <w:p>
      <w:pPr>
        <w:spacing w:before="315"/>
        <w:ind w:left="675" w:right="0" w:firstLine="0"/>
        <w:jc w:val="left"/>
        <w:rPr>
          <w:rFonts w:ascii="Palatino Linotype"/>
          <w:b/>
          <w:sz w:val="28"/>
        </w:rPr>
      </w:pPr>
      <w:r>
        <w:rPr>
          <w:rFonts w:ascii="Palatino Linotype"/>
          <w:b/>
          <w:color w:val="008790"/>
          <w:sz w:val="28"/>
        </w:rPr>
        <w:t>the language of Desire</w:t>
      </w:r>
    </w:p>
    <w:p>
      <w:pPr>
        <w:pStyle w:val="Heading5"/>
        <w:spacing w:line="360" w:lineRule="exact" w:before="305"/>
        <w:ind w:left="675"/>
        <w:jc w:val="left"/>
      </w:pPr>
      <w:r>
        <w:rPr>
          <w:color w:val="231F20"/>
        </w:rPr>
        <w:t>On language of love:</w:t>
      </w:r>
    </w:p>
    <w:p>
      <w:pPr>
        <w:spacing w:line="360" w:lineRule="exact" w:before="0"/>
        <w:ind w:left="1395" w:right="0" w:firstLine="0"/>
        <w:jc w:val="left"/>
        <w:rPr>
          <w:rFonts w:ascii="Palatino Linotype"/>
          <w:i/>
          <w:sz w:val="28"/>
        </w:rPr>
      </w:pPr>
      <w:r>
        <w:rPr>
          <w:rFonts w:ascii="Palatino Linotype"/>
          <w:color w:val="231F20"/>
          <w:sz w:val="28"/>
        </w:rPr>
        <w:t>Benedict XVI, </w:t>
      </w:r>
      <w:r>
        <w:rPr>
          <w:rFonts w:ascii="Palatino Linotype"/>
          <w:i/>
          <w:color w:val="231F20"/>
          <w:sz w:val="28"/>
        </w:rPr>
        <w:t>Deus Caritas Est</w:t>
      </w:r>
    </w:p>
    <w:p>
      <w:pPr>
        <w:pStyle w:val="Heading5"/>
        <w:spacing w:line="360" w:lineRule="exact" w:before="305"/>
        <w:ind w:left="675"/>
        <w:jc w:val="left"/>
      </w:pPr>
      <w:r>
        <w:rPr>
          <w:color w:val="231F20"/>
        </w:rPr>
        <w:t>On love and generosity:</w:t>
      </w:r>
    </w:p>
    <w:p>
      <w:pPr>
        <w:spacing w:line="216" w:lineRule="auto" w:before="11"/>
        <w:ind w:left="1395" w:right="1446" w:firstLine="0"/>
        <w:jc w:val="left"/>
        <w:rPr>
          <w:rFonts w:ascii="Palatino Linotype" w:hAnsi="Palatino Linotype"/>
          <w:sz w:val="28"/>
        </w:rPr>
      </w:pPr>
      <w:r>
        <w:rPr>
          <w:rFonts w:ascii="Palatino Linotype" w:hAnsi="Palatino Linotype"/>
          <w:color w:val="231F20"/>
          <w:sz w:val="28"/>
        </w:rPr>
        <w:t>The Pontiﬁcal Council for the Family, </w:t>
      </w:r>
      <w:r>
        <w:rPr>
          <w:rFonts w:ascii="Palatino Linotype" w:hAnsi="Palatino Linotype"/>
          <w:i/>
          <w:color w:val="231F20"/>
          <w:sz w:val="28"/>
        </w:rPr>
        <w:t>The Truth and Meaning of Human </w:t>
      </w:r>
      <w:r>
        <w:rPr>
          <w:rFonts w:ascii="Palatino Linotype" w:hAnsi="Palatino Linotype"/>
          <w:i/>
          <w:color w:val="231F20"/>
          <w:sz w:val="28"/>
        </w:rPr>
        <w:t>Sexuality </w:t>
      </w:r>
      <w:r>
        <w:rPr>
          <w:rFonts w:ascii="Palatino Linotype" w:hAnsi="Palatino Linotype"/>
          <w:color w:val="231F20"/>
          <w:sz w:val="28"/>
        </w:rPr>
        <w:t>9.</w:t>
      </w:r>
    </w:p>
    <w:p>
      <w:pPr>
        <w:pStyle w:val="Heading5"/>
        <w:spacing w:line="360" w:lineRule="exact" w:before="315"/>
        <w:ind w:right="7708"/>
        <w:jc w:val="right"/>
      </w:pPr>
      <w:r>
        <w:rPr>
          <w:color w:val="231F20"/>
        </w:rPr>
        <w:t>On patience and chastity:</w:t>
      </w:r>
    </w:p>
    <w:p>
      <w:pPr>
        <w:pStyle w:val="Heading6"/>
        <w:spacing w:line="360" w:lineRule="exact"/>
        <w:ind w:right="7694"/>
        <w:rPr>
          <w:i w:val="0"/>
        </w:rPr>
      </w:pPr>
      <w:r>
        <w:rPr>
          <w:i/>
          <w:color w:val="231F20"/>
        </w:rPr>
        <w:t>Evangelium Vitae</w:t>
      </w:r>
      <w:r>
        <w:rPr>
          <w:i/>
          <w:color w:val="231F20"/>
          <w:spacing w:val="-15"/>
        </w:rPr>
        <w:t> </w:t>
      </w:r>
      <w:r>
        <w:rPr>
          <w:i w:val="0"/>
          <w:color w:val="231F20"/>
        </w:rPr>
        <w:t>97.</w:t>
      </w:r>
    </w:p>
    <w:p>
      <w:pPr>
        <w:pStyle w:val="Heading5"/>
        <w:spacing w:line="360" w:lineRule="exact" w:before="305"/>
        <w:ind w:left="675"/>
        <w:jc w:val="left"/>
      </w:pPr>
      <w:r>
        <w:rPr>
          <w:color w:val="231F20"/>
        </w:rPr>
        <w:t>On education in chastity:</w:t>
      </w:r>
    </w:p>
    <w:p>
      <w:pPr>
        <w:spacing w:line="216" w:lineRule="auto" w:before="12"/>
        <w:ind w:left="1395" w:right="1446" w:firstLine="0"/>
        <w:jc w:val="left"/>
        <w:rPr>
          <w:rFonts w:ascii="Palatino Linotype" w:hAnsi="Palatino Linotype"/>
          <w:sz w:val="28"/>
        </w:rPr>
      </w:pPr>
      <w:r>
        <w:rPr>
          <w:rFonts w:ascii="Palatino Linotype" w:hAnsi="Palatino Linotype"/>
          <w:color w:val="231F20"/>
          <w:sz w:val="28"/>
        </w:rPr>
        <w:t>The Pontiﬁcal Council for the Family, </w:t>
      </w:r>
      <w:r>
        <w:rPr>
          <w:rFonts w:ascii="Palatino Linotype" w:hAnsi="Palatino Linotype"/>
          <w:i/>
          <w:color w:val="231F20"/>
          <w:sz w:val="28"/>
        </w:rPr>
        <w:t>The Truth and Meaning of Human </w:t>
      </w:r>
      <w:r>
        <w:rPr>
          <w:rFonts w:ascii="Palatino Linotype" w:hAnsi="Palatino Linotype"/>
          <w:i/>
          <w:color w:val="231F20"/>
          <w:sz w:val="28"/>
        </w:rPr>
        <w:t>Sexuality </w:t>
      </w:r>
      <w:r>
        <w:rPr>
          <w:rFonts w:ascii="Palatino Linotype" w:hAnsi="Palatino Linotype"/>
          <w:color w:val="231F20"/>
          <w:sz w:val="28"/>
        </w:rPr>
        <w:t>58.</w:t>
      </w:r>
    </w:p>
    <w:p>
      <w:pPr>
        <w:spacing w:before="314"/>
        <w:ind w:left="675" w:right="0" w:firstLine="0"/>
        <w:jc w:val="left"/>
        <w:rPr>
          <w:rFonts w:ascii="Palatino Linotype"/>
          <w:b/>
          <w:sz w:val="28"/>
        </w:rPr>
      </w:pPr>
      <w:r>
        <w:rPr>
          <w:rFonts w:ascii="Palatino Linotype"/>
          <w:b/>
          <w:color w:val="008790"/>
          <w:sz w:val="28"/>
        </w:rPr>
        <w:t>honouring the body</w:t>
      </w:r>
    </w:p>
    <w:p>
      <w:pPr>
        <w:pStyle w:val="Heading5"/>
        <w:spacing w:line="360" w:lineRule="exact" w:before="306"/>
        <w:ind w:left="675"/>
        <w:jc w:val="left"/>
      </w:pPr>
      <w:r>
        <w:rPr>
          <w:color w:val="231F20"/>
        </w:rPr>
        <w:t>On dignity of the human body:</w:t>
      </w:r>
    </w:p>
    <w:p>
      <w:pPr>
        <w:pStyle w:val="Heading6"/>
        <w:spacing w:line="216" w:lineRule="auto" w:before="11"/>
        <w:ind w:left="1395" w:right="4630"/>
        <w:jc w:val="left"/>
        <w:rPr>
          <w:i w:val="0"/>
        </w:rPr>
      </w:pPr>
      <w:r>
        <w:rPr>
          <w:i w:val="0"/>
          <w:color w:val="231F20"/>
        </w:rPr>
        <w:t>JPII, </w:t>
      </w:r>
      <w:r>
        <w:rPr>
          <w:i/>
          <w:color w:val="231F20"/>
        </w:rPr>
        <w:t>General </w:t>
      </w:r>
      <w:r>
        <w:rPr>
          <w:i/>
          <w:color w:val="231F20"/>
          <w:spacing w:val="-3"/>
        </w:rPr>
        <w:t>Audience </w:t>
      </w:r>
      <w:r>
        <w:rPr>
          <w:i/>
          <w:color w:val="231F20"/>
        </w:rPr>
        <w:t>(16 January </w:t>
      </w:r>
      <w:r>
        <w:rPr>
          <w:i/>
          <w:color w:val="231F20"/>
          <w:spacing w:val="-4"/>
        </w:rPr>
        <w:t>1980) </w:t>
      </w:r>
      <w:r>
        <w:rPr>
          <w:color w:val="231F20"/>
        </w:rPr>
        <w:t>Gaudiem et Spes </w:t>
      </w:r>
      <w:r>
        <w:rPr>
          <w:i w:val="0"/>
          <w:color w:val="231F20"/>
        </w:rPr>
        <w:t>14.</w:t>
      </w:r>
    </w:p>
    <w:p>
      <w:pPr>
        <w:pStyle w:val="Heading6"/>
        <w:spacing w:line="351" w:lineRule="exact"/>
        <w:ind w:left="1395" w:right="0"/>
        <w:jc w:val="left"/>
        <w:rPr>
          <w:i w:val="0"/>
        </w:rPr>
      </w:pPr>
      <w:r>
        <w:rPr>
          <w:i/>
          <w:color w:val="231F20"/>
        </w:rPr>
        <w:t>Evangelium Vitae</w:t>
      </w:r>
      <w:r>
        <w:rPr>
          <w:i/>
          <w:color w:val="231F20"/>
          <w:spacing w:val="-15"/>
        </w:rPr>
        <w:t> </w:t>
      </w:r>
      <w:r>
        <w:rPr>
          <w:i w:val="0"/>
          <w:color w:val="231F20"/>
        </w:rPr>
        <w:t>2.</w:t>
      </w:r>
    </w:p>
    <w:p>
      <w:pPr>
        <w:pStyle w:val="Heading5"/>
        <w:spacing w:line="360" w:lineRule="exact" w:before="305"/>
        <w:ind w:left="675"/>
        <w:jc w:val="left"/>
      </w:pPr>
      <w:r>
        <w:rPr>
          <w:color w:val="231F20"/>
        </w:rPr>
        <w:t>On homosexuality:</w:t>
      </w:r>
    </w:p>
    <w:p>
      <w:pPr>
        <w:spacing w:line="216" w:lineRule="auto" w:before="11"/>
        <w:ind w:left="1395" w:right="1064" w:hanging="1"/>
        <w:jc w:val="left"/>
        <w:rPr>
          <w:rFonts w:ascii="Palatino Linotype"/>
          <w:i/>
          <w:sz w:val="28"/>
        </w:rPr>
      </w:pPr>
      <w:r>
        <w:rPr>
          <w:rFonts w:ascii="Palatino Linotype"/>
          <w:color w:val="231F20"/>
          <w:sz w:val="28"/>
        </w:rPr>
        <w:t>Congregation for the Doctrine of the Faith, </w:t>
      </w:r>
      <w:r>
        <w:rPr>
          <w:rFonts w:ascii="Palatino Linotype"/>
          <w:i/>
          <w:color w:val="231F20"/>
          <w:sz w:val="28"/>
        </w:rPr>
        <w:t>Letter to the Bishops of the </w:t>
      </w:r>
      <w:r>
        <w:rPr>
          <w:rFonts w:ascii="Palatino Linotype"/>
          <w:i/>
          <w:color w:val="231F20"/>
          <w:sz w:val="28"/>
        </w:rPr>
        <w:t>Catholic Church on the Pastoral Care of Homosexual Persons</w:t>
      </w:r>
    </w:p>
    <w:p>
      <w:pPr>
        <w:pStyle w:val="BodyText"/>
        <w:spacing w:before="7"/>
        <w:rPr>
          <w:rFonts w:ascii="Palatino Linotype"/>
          <w:i/>
          <w:sz w:val="25"/>
        </w:rPr>
      </w:pPr>
    </w:p>
    <w:p>
      <w:pPr>
        <w:spacing w:line="216" w:lineRule="auto" w:before="0"/>
        <w:ind w:left="1395" w:right="3217" w:hanging="720"/>
        <w:jc w:val="left"/>
        <w:rPr>
          <w:rFonts w:ascii="Palatino Linotype"/>
          <w:sz w:val="28"/>
        </w:rPr>
      </w:pPr>
      <w:r>
        <w:rPr>
          <w:rFonts w:ascii="Palatino Linotype"/>
          <w:color w:val="231F20"/>
          <w:sz w:val="28"/>
        </w:rPr>
        <w:t>On principles behind social media damage and pornography: JPII </w:t>
      </w:r>
      <w:r>
        <w:rPr>
          <w:rFonts w:ascii="Palatino Linotype"/>
          <w:i/>
          <w:color w:val="231F20"/>
          <w:sz w:val="28"/>
        </w:rPr>
        <w:t>Letter to Families </w:t>
      </w:r>
      <w:r>
        <w:rPr>
          <w:rFonts w:ascii="Palatino Linotype"/>
          <w:color w:val="231F20"/>
          <w:sz w:val="28"/>
        </w:rPr>
        <w:t>20.</w:t>
      </w:r>
    </w:p>
    <w:p>
      <w:pPr>
        <w:spacing w:after="0" w:line="216" w:lineRule="auto"/>
        <w:jc w:val="left"/>
        <w:rPr>
          <w:rFonts w:ascii="Palatino Linotype"/>
          <w:sz w:val="28"/>
        </w:rPr>
        <w:sectPr>
          <w:headerReference w:type="default" r:id="rId170"/>
          <w:footerReference w:type="default" r:id="rId171"/>
          <w:pgSz w:w="11910" w:h="16840"/>
          <w:pgMar w:header="0" w:footer="826" w:top="1580" w:bottom="1020" w:left="160" w:right="220"/>
          <w:pgNumType w:start="24"/>
        </w:sectPr>
      </w:pPr>
    </w:p>
    <w:p>
      <w:pPr>
        <w:pStyle w:val="BodyText"/>
        <w:rPr>
          <w:rFonts w:ascii="Palatino Linotype"/>
          <w:sz w:val="20"/>
        </w:rPr>
      </w:pPr>
    </w:p>
    <w:p>
      <w:pPr>
        <w:pStyle w:val="BodyText"/>
        <w:spacing w:before="5"/>
        <w:rPr>
          <w:rFonts w:ascii="Palatino Linotype"/>
          <w:sz w:val="25"/>
        </w:rPr>
      </w:pPr>
    </w:p>
    <w:p>
      <w:pPr>
        <w:pStyle w:val="Heading4"/>
        <w:spacing w:line="434" w:lineRule="auto" w:before="101"/>
        <w:ind w:left="6865" w:firstLine="686"/>
      </w:pPr>
      <w:r>
        <w:rPr>
          <w:i/>
          <w:color w:val="008790"/>
        </w:rPr>
        <w:t>Love is patient</w:t>
      </w:r>
      <w:r>
        <w:rPr>
          <w:i/>
          <w:color w:val="008790"/>
          <w:spacing w:val="-1"/>
        </w:rPr>
        <w:t> </w:t>
      </w:r>
      <w:r>
        <w:rPr>
          <w:i/>
          <w:color w:val="008790"/>
        </w:rPr>
        <w:t>and </w:t>
      </w:r>
      <w:r>
        <w:rPr>
          <w:i/>
          <w:color w:val="008790"/>
          <w:spacing w:val="-4"/>
        </w:rPr>
        <w:t>kind;</w:t>
      </w:r>
      <w:r>
        <w:rPr>
          <w:color w:val="008790"/>
        </w:rPr>
        <w:t> love is not jealous</w:t>
      </w:r>
      <w:r>
        <w:rPr>
          <w:color w:val="008790"/>
          <w:spacing w:val="-18"/>
        </w:rPr>
        <w:t> </w:t>
      </w:r>
      <w:r>
        <w:rPr>
          <w:color w:val="008790"/>
        </w:rPr>
        <w:t>or</w:t>
      </w:r>
      <w:r>
        <w:rPr>
          <w:color w:val="008790"/>
          <w:spacing w:val="-4"/>
        </w:rPr>
        <w:t> </w:t>
      </w:r>
      <w:r>
        <w:rPr>
          <w:color w:val="008790"/>
        </w:rPr>
        <w:t>boastful; it is not arrogant or rude.</w:t>
      </w:r>
    </w:p>
    <w:p>
      <w:pPr>
        <w:pStyle w:val="Heading4"/>
        <w:spacing w:line="434" w:lineRule="auto"/>
        <w:ind w:left="7001"/>
      </w:pPr>
      <w:r>
        <w:rPr>
          <w:i/>
          <w:color w:val="008790"/>
        </w:rPr>
        <w:t>Love does not insist on its</w:t>
      </w:r>
      <w:r>
        <w:rPr>
          <w:i/>
          <w:color w:val="008790"/>
          <w:spacing w:val="-5"/>
        </w:rPr>
        <w:t> </w:t>
      </w:r>
      <w:r>
        <w:rPr>
          <w:i/>
          <w:color w:val="008790"/>
        </w:rPr>
        <w:t>own </w:t>
      </w:r>
      <w:r>
        <w:rPr>
          <w:i/>
          <w:color w:val="008790"/>
          <w:spacing w:val="-6"/>
        </w:rPr>
        <w:t>way;</w:t>
      </w:r>
      <w:r>
        <w:rPr>
          <w:color w:val="008790"/>
        </w:rPr>
        <w:t> it is not irritable</w:t>
      </w:r>
      <w:r>
        <w:rPr>
          <w:color w:val="008790"/>
          <w:spacing w:val="-14"/>
        </w:rPr>
        <w:t> </w:t>
      </w:r>
      <w:r>
        <w:rPr>
          <w:color w:val="008790"/>
        </w:rPr>
        <w:t>or</w:t>
      </w:r>
      <w:r>
        <w:rPr>
          <w:color w:val="008790"/>
          <w:spacing w:val="-3"/>
        </w:rPr>
        <w:t> </w:t>
      </w:r>
      <w:r>
        <w:rPr>
          <w:color w:val="008790"/>
        </w:rPr>
        <w:t>resentful; it does not rejoice at wrong, but rejoices in the right.</w:t>
      </w:r>
    </w:p>
    <w:p>
      <w:pPr>
        <w:pStyle w:val="Heading4"/>
        <w:spacing w:line="434" w:lineRule="auto"/>
        <w:ind w:left="8336" w:hanging="351"/>
      </w:pPr>
      <w:r>
        <w:rPr>
          <w:i/>
          <w:color w:val="008790"/>
        </w:rPr>
        <w:t>Love bears all </w:t>
      </w:r>
      <w:r>
        <w:rPr>
          <w:i/>
          <w:color w:val="008790"/>
          <w:spacing w:val="-3"/>
        </w:rPr>
        <w:t>things,</w:t>
      </w:r>
      <w:r>
        <w:rPr>
          <w:color w:val="008790"/>
        </w:rPr>
        <w:t> believes</w:t>
      </w:r>
      <w:r>
        <w:rPr>
          <w:color w:val="008790"/>
          <w:spacing w:val="-1"/>
        </w:rPr>
        <w:t> </w:t>
      </w:r>
      <w:r>
        <w:rPr>
          <w:color w:val="008790"/>
        </w:rPr>
        <w:t>all </w:t>
      </w:r>
      <w:r>
        <w:rPr>
          <w:color w:val="008790"/>
          <w:spacing w:val="-3"/>
        </w:rPr>
        <w:t>things,</w:t>
      </w:r>
      <w:r>
        <w:rPr>
          <w:color w:val="008790"/>
        </w:rPr>
        <w:t> hopes all things, endures all things.</w:t>
      </w:r>
    </w:p>
    <w:p>
      <w:pPr>
        <w:pStyle w:val="Heading4"/>
        <w:ind w:firstLine="0"/>
        <w:rPr>
          <w:i/>
        </w:rPr>
      </w:pPr>
      <w:r>
        <w:rPr>
          <w:i/>
          <w:color w:val="008790"/>
        </w:rPr>
        <w:t>Love never</w:t>
      </w:r>
      <w:r>
        <w:rPr>
          <w:i/>
          <w:color w:val="008790"/>
          <w:spacing w:val="-10"/>
        </w:rPr>
        <w:t> </w:t>
      </w:r>
      <w:r>
        <w:rPr>
          <w:i/>
          <w:color w:val="008790"/>
        </w:rPr>
        <w:t>ends.</w:t>
      </w:r>
    </w:p>
    <w:p>
      <w:pPr>
        <w:pStyle w:val="BodyText"/>
        <w:spacing w:before="12"/>
        <w:rPr>
          <w:rFonts w:ascii="Palatino Linotype"/>
          <w:b/>
          <w:i/>
          <w:sz w:val="47"/>
        </w:rPr>
      </w:pPr>
    </w:p>
    <w:p>
      <w:pPr>
        <w:spacing w:before="0"/>
        <w:ind w:left="0" w:right="871" w:firstLine="0"/>
        <w:jc w:val="right"/>
        <w:rPr>
          <w:rFonts w:ascii="Palatino Linotype"/>
          <w:b/>
          <w:sz w:val="28"/>
        </w:rPr>
      </w:pPr>
      <w:r>
        <w:rPr>
          <w:rFonts w:ascii="Palatino Linotype"/>
          <w:b/>
          <w:color w:val="008790"/>
          <w:sz w:val="28"/>
        </w:rPr>
        <w:t>1 Corinthians 13: 4-8</w:t>
      </w:r>
    </w:p>
    <w:p>
      <w:pPr>
        <w:spacing w:after="0"/>
        <w:jc w:val="right"/>
        <w:rPr>
          <w:rFonts w:ascii="Palatino Linotype"/>
          <w:sz w:val="28"/>
        </w:rPr>
        <w:sectPr>
          <w:headerReference w:type="default" r:id="rId172"/>
          <w:footerReference w:type="default" r:id="rId173"/>
          <w:pgSz w:w="11910" w:h="16840"/>
          <w:pgMar w:header="0" w:footer="0" w:top="1580" w:bottom="280" w:left="160" w:right="220"/>
        </w:sectPr>
      </w:pPr>
    </w:p>
    <w:p>
      <w:pPr>
        <w:pStyle w:val="BodyText"/>
        <w:spacing w:before="7"/>
        <w:rPr>
          <w:rFonts w:ascii="Palatino Linotype"/>
          <w:b/>
          <w:sz w:val="6"/>
        </w:rPr>
      </w:pPr>
      <w:r>
        <w:rPr/>
        <w:pict>
          <v:rect style="position:absolute;margin-left:0pt;margin-top:0pt;width:595.276001pt;height:841.001015pt;mso-position-horizontal-relative:page;mso-position-vertical-relative:page;z-index:-255509504" filled="true" fillcolor="#008790" stroked="false">
            <v:fill type="solid"/>
            <w10:wrap type="none"/>
          </v:rect>
        </w:pict>
      </w:r>
    </w:p>
    <w:p>
      <w:pPr>
        <w:pStyle w:val="BodyText"/>
        <w:ind w:left="1260"/>
        <w:rPr>
          <w:rFonts w:ascii="Palatino Linotype"/>
          <w:sz w:val="20"/>
        </w:rPr>
      </w:pPr>
      <w:r>
        <w:rPr>
          <w:rFonts w:ascii="Palatino Linotype"/>
          <w:sz w:val="20"/>
        </w:rPr>
        <w:pict>
          <v:group style="width:459.3pt;height:352.25pt;mso-position-horizontal-relative:char;mso-position-vertical-relative:line" coordorigin="0,0" coordsize="9186,7045">
            <v:rect style="position:absolute;left:0;top:0;width:9186;height:7045" filled="true" fillcolor="#ffffff" stroked="false">
              <v:fill type="solid"/>
            </v:rect>
            <v:shape style="position:absolute;left:177;top:186;width:8840;height:6686" type="#_x0000_t75" stroked="false">
              <v:imagedata r:id="rId176" o:title=""/>
            </v:shape>
          </v:group>
        </w:pict>
      </w:r>
      <w:r>
        <w:rPr>
          <w:rFonts w:ascii="Palatino Linotype"/>
          <w:sz w:val="20"/>
        </w:rPr>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3"/>
        <w:rPr>
          <w:rFonts w:ascii="Palatino Linotype"/>
          <w:b/>
          <w:sz w:val="28"/>
        </w:rPr>
      </w:pPr>
    </w:p>
    <w:p>
      <w:pPr>
        <w:spacing w:line="216" w:lineRule="auto" w:before="129"/>
        <w:ind w:left="2475" w:right="2413" w:hanging="1"/>
        <w:jc w:val="center"/>
        <w:rPr>
          <w:rFonts w:ascii="Palatino Linotype" w:hAnsi="Palatino Linotype"/>
          <w:b/>
          <w:sz w:val="28"/>
        </w:rPr>
      </w:pPr>
      <w:r>
        <w:rPr>
          <w:rFonts w:ascii="Palatino Linotype" w:hAnsi="Palatino Linotype"/>
          <w:b/>
          <w:color w:val="FFFFFF"/>
          <w:sz w:val="28"/>
        </w:rPr>
        <w:t>Department of Catholic Education and Formation Catholic Bishops’ Conference of England and </w:t>
      </w:r>
      <w:r>
        <w:rPr>
          <w:rFonts w:ascii="Palatino Linotype" w:hAnsi="Palatino Linotype"/>
          <w:b/>
          <w:color w:val="FFFFFF"/>
          <w:spacing w:val="-8"/>
          <w:sz w:val="28"/>
        </w:rPr>
        <w:t>Wales</w:t>
      </w:r>
    </w:p>
    <w:p>
      <w:pPr>
        <w:pStyle w:val="BodyText"/>
        <w:spacing w:before="7"/>
        <w:rPr>
          <w:rFonts w:ascii="Palatino Linotype"/>
          <w:b/>
          <w:sz w:val="25"/>
        </w:rPr>
      </w:pPr>
    </w:p>
    <w:p>
      <w:pPr>
        <w:spacing w:line="216" w:lineRule="auto" w:before="0"/>
        <w:ind w:left="4533" w:right="4471" w:firstLine="0"/>
        <w:jc w:val="center"/>
        <w:rPr>
          <w:rFonts w:ascii="Palatino Linotype"/>
          <w:b/>
          <w:sz w:val="28"/>
        </w:rPr>
      </w:pPr>
      <w:r>
        <w:rPr>
          <w:rFonts w:ascii="Palatino Linotype"/>
          <w:b/>
          <w:color w:val="FFFFFF"/>
          <w:sz w:val="28"/>
        </w:rPr>
        <w:t>39 Eccleston Square London</w:t>
      </w:r>
    </w:p>
    <w:p>
      <w:pPr>
        <w:spacing w:line="351" w:lineRule="exact" w:before="0"/>
        <w:ind w:left="1337" w:right="1277" w:firstLine="0"/>
        <w:jc w:val="center"/>
        <w:rPr>
          <w:rFonts w:ascii="Palatino Linotype"/>
          <w:b/>
          <w:sz w:val="28"/>
        </w:rPr>
      </w:pPr>
      <w:r>
        <w:rPr>
          <w:rFonts w:ascii="Palatino Linotype"/>
          <w:b/>
          <w:color w:val="FFFFFF"/>
          <w:sz w:val="28"/>
        </w:rPr>
        <w:t>SW1V 1BX</w:t>
      </w:r>
    </w:p>
    <w:p>
      <w:pPr>
        <w:pStyle w:val="BodyText"/>
        <w:spacing w:before="13"/>
        <w:rPr>
          <w:rFonts w:ascii="Palatino Linotype"/>
          <w:b/>
          <w:sz w:val="47"/>
        </w:rPr>
      </w:pPr>
    </w:p>
    <w:p>
      <w:pPr>
        <w:spacing w:before="0"/>
        <w:ind w:left="1336" w:right="1277" w:firstLine="0"/>
        <w:jc w:val="center"/>
        <w:rPr>
          <w:rFonts w:ascii="Palatino Linotype"/>
          <w:b/>
          <w:sz w:val="28"/>
        </w:rPr>
      </w:pPr>
      <w:r>
        <w:rPr>
          <w:rFonts w:ascii="Palatino Linotype"/>
          <w:b/>
          <w:color w:val="FFFFFF"/>
          <w:sz w:val="28"/>
        </w:rPr>
        <w:t>Published March 2017</w:t>
      </w:r>
    </w:p>
    <w:p>
      <w:pPr>
        <w:pStyle w:val="BodyText"/>
        <w:spacing w:before="11"/>
        <w:rPr>
          <w:rFonts w:ascii="Palatino Linotype"/>
          <w:b/>
          <w:sz w:val="9"/>
        </w:rPr>
      </w:pPr>
      <w:r>
        <w:rPr/>
        <w:drawing>
          <wp:anchor distT="0" distB="0" distL="0" distR="0" allowOverlap="1" layoutInCell="1" locked="0" behindDoc="0" simplePos="0" relativeHeight="30">
            <wp:simplePos x="0" y="0"/>
            <wp:positionH relativeFrom="page">
              <wp:posOffset>2993301</wp:posOffset>
            </wp:positionH>
            <wp:positionV relativeFrom="paragraph">
              <wp:posOffset>109065</wp:posOffset>
            </wp:positionV>
            <wp:extent cx="1572914" cy="1573530"/>
            <wp:effectExtent l="0" t="0" r="0" b="0"/>
            <wp:wrapTopAndBottom/>
            <wp:docPr id="47" name="image22.png"/>
            <wp:cNvGraphicFramePr>
              <a:graphicFrameLocks noChangeAspect="1"/>
            </wp:cNvGraphicFramePr>
            <a:graphic>
              <a:graphicData uri="http://schemas.openxmlformats.org/drawingml/2006/picture">
                <pic:pic>
                  <pic:nvPicPr>
                    <pic:cNvPr id="48" name="image22.png"/>
                    <pic:cNvPicPr/>
                  </pic:nvPicPr>
                  <pic:blipFill>
                    <a:blip r:embed="rId177" cstate="print"/>
                    <a:stretch>
                      <a:fillRect/>
                    </a:stretch>
                  </pic:blipFill>
                  <pic:spPr>
                    <a:xfrm>
                      <a:off x="0" y="0"/>
                      <a:ext cx="1572914" cy="1573530"/>
                    </a:xfrm>
                    <a:prstGeom prst="rect">
                      <a:avLst/>
                    </a:prstGeom>
                  </pic:spPr>
                </pic:pic>
              </a:graphicData>
            </a:graphic>
          </wp:anchor>
        </w:drawing>
      </w:r>
    </w:p>
    <w:sectPr>
      <w:headerReference w:type="default" r:id="rId174"/>
      <w:footerReference w:type="default" r:id="rId175"/>
      <w:pgSz w:w="11910" w:h="16840"/>
      <w:pgMar w:header="0" w:footer="0" w:top="1580" w:bottom="280" w:left="16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 w:name="Trebuchet MS">
    <w:altName w:val="Trebuchet MS"/>
    <w:charset w:val="0"/>
    <w:family w:val="swiss"/>
    <w:pitch w:val="variable"/>
  </w:font>
  <w:font w:name="Courier New">
    <w:altName w:val="Courier New"/>
    <w:charset w:val="0"/>
    <w:family w:val="modern"/>
    <w:pitch w:val="fixed"/>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76256">
          <wp:simplePos x="0" y="0"/>
          <wp:positionH relativeFrom="page">
            <wp:posOffset>5300979</wp:posOffset>
          </wp:positionH>
          <wp:positionV relativeFrom="page">
            <wp:posOffset>9647681</wp:posOffset>
          </wp:positionV>
          <wp:extent cx="1275572" cy="415175"/>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1275572" cy="415175"/>
                  </a:xfrm>
                  <a:prstGeom prst="rect">
                    <a:avLst/>
                  </a:prstGeom>
                </pic:spPr>
              </pic:pic>
            </a:graphicData>
          </a:graphic>
        </wp:anchor>
      </w:drawing>
    </w:r>
    <w:r>
      <w:rPr/>
      <w:pict>
        <v:shape style="position:absolute;margin-left:76.400002pt;margin-top:769.749146pt;width:19.8pt;height:13.2pt;mso-position-horizontal-relative:page;mso-position-vertical-relative:page;z-index:-255539200" type="#_x0000_t202" filled="false" stroked="false">
          <v:textbox inset="0,0,0,0">
            <w:txbxContent>
              <w:p>
                <w:pPr>
                  <w:spacing w:before="14"/>
                  <w:ind w:left="20" w:right="0" w:firstLine="0"/>
                  <w:jc w:val="left"/>
                  <w:rPr>
                    <w:sz w:val="20"/>
                  </w:rPr>
                </w:pPr>
                <w:r>
                  <w:rPr>
                    <w:sz w:val="20"/>
                  </w:rPr>
                  <w:t>(</w:t>
                </w:r>
                <w:r>
                  <w:rPr/>
                  <w:fldChar w:fldCharType="begin"/>
                </w:r>
                <w:r>
                  <w:rPr>
                    <w:sz w:val="20"/>
                  </w:rPr>
                  <w:instrText> PAGE </w:instrText>
                </w:r>
                <w:r>
                  <w:rPr/>
                  <w:fldChar w:fldCharType="separate"/>
                </w:r>
                <w:r>
                  <w:rPr/>
                  <w:t>10</w:t>
                </w:r>
                <w:r>
                  <w:rPr/>
                  <w:fldChar w:fldCharType="end"/>
                </w:r>
                <w:r>
                  <w:rPr>
                    <w:sz w:val="20"/>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95.049988pt;margin-top:547.039978pt;width:52.05pt;height:14pt;mso-position-horizontal-relative:page;mso-position-vertical-relative:page;z-index:-255526912"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4</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25888"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2</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24864"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3</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23840"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4</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22816"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5</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21792"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6</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20768"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7</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049988pt;margin-top:547.039978pt;width:52.05pt;height:14pt;mso-position-horizontal-relative:page;mso-position-vertical-relative:page;z-index:-255519744" type="#_x0000_t202" filled="false" stroked="false">
          <v:textbox inset="0,0,0,0">
            <w:txbxContent>
              <w:p>
                <w:pPr>
                  <w:spacing w:line="264" w:lineRule="exact" w:before="0"/>
                  <w:ind w:left="20" w:right="0" w:firstLine="0"/>
                  <w:jc w:val="left"/>
                  <w:rPr>
                    <w:rFonts w:ascii="Calibri"/>
                    <w:b/>
                    <w:sz w:val="24"/>
                  </w:rPr>
                </w:pPr>
                <w:r>
                  <w:rPr>
                    <w:rFonts w:ascii="Calibri"/>
                    <w:sz w:val="22"/>
                  </w:rPr>
                  <w:t>Page </w:t>
                </w:r>
                <w:r>
                  <w:rPr/>
                  <w:fldChar w:fldCharType="begin"/>
                </w:r>
                <w:r>
                  <w:rPr>
                    <w:rFonts w:ascii="Calibri"/>
                    <w:b/>
                    <w:sz w:val="22"/>
                  </w:rPr>
                  <w:instrText> PAGE </w:instrText>
                </w:r>
                <w:r>
                  <w:rPr/>
                  <w:fldChar w:fldCharType="separate"/>
                </w:r>
                <w:r>
                  <w:rPr/>
                  <w:t>8</w:t>
                </w:r>
                <w:r>
                  <w:rPr/>
                  <w:fldChar w:fldCharType="end"/>
                </w:r>
                <w:r>
                  <w:rPr>
                    <w:rFonts w:ascii="Calibri"/>
                    <w:b/>
                    <w:sz w:val="22"/>
                  </w:rPr>
                  <w:t> </w:t>
                </w:r>
                <w:r>
                  <w:rPr>
                    <w:rFonts w:ascii="Calibri"/>
                    <w:sz w:val="22"/>
                  </w:rPr>
                  <w:t>of </w:t>
                </w:r>
                <w:r>
                  <w:rPr>
                    <w:rFonts w:ascii="Calibri"/>
                    <w:b/>
                    <w:sz w:val="24"/>
                  </w:rPr>
                  <w:t>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78304">
          <wp:simplePos x="0" y="0"/>
          <wp:positionH relativeFrom="page">
            <wp:posOffset>5300979</wp:posOffset>
          </wp:positionH>
          <wp:positionV relativeFrom="page">
            <wp:posOffset>6515861</wp:posOffset>
          </wp:positionV>
          <wp:extent cx="1275572" cy="415175"/>
          <wp:effectExtent l="0" t="0" r="0" b="0"/>
          <wp:wrapNone/>
          <wp:docPr id="11" name="image1.jpeg"/>
          <wp:cNvGraphicFramePr>
            <a:graphicFrameLocks noChangeAspect="1"/>
          </wp:cNvGraphicFramePr>
          <a:graphic>
            <a:graphicData uri="http://schemas.openxmlformats.org/drawingml/2006/picture">
              <pic:pic>
                <pic:nvPicPr>
                  <pic:cNvPr id="12" name="image1.jpeg"/>
                  <pic:cNvPicPr/>
                </pic:nvPicPr>
                <pic:blipFill>
                  <a:blip r:embed="rId1" cstate="print"/>
                  <a:stretch>
                    <a:fillRect/>
                  </a:stretch>
                </pic:blipFill>
                <pic:spPr>
                  <a:xfrm>
                    <a:off x="0" y="0"/>
                    <a:ext cx="1275572" cy="415175"/>
                  </a:xfrm>
                  <a:prstGeom prst="rect">
                    <a:avLst/>
                  </a:prstGeom>
                </pic:spPr>
              </pic:pic>
            </a:graphicData>
          </a:graphic>
        </wp:anchor>
      </w:drawing>
    </w:r>
    <w:r>
      <w:rPr/>
      <w:pict>
        <v:shape style="position:absolute;margin-left:76.400002pt;margin-top:523.14917pt;width:19.8pt;height:13.2pt;mso-position-horizontal-relative:page;mso-position-vertical-relative:page;z-index:-255537152" type="#_x0000_t202" filled="false" stroked="false">
          <v:textbox inset="0,0,0,0">
            <w:txbxContent>
              <w:p>
                <w:pPr>
                  <w:spacing w:before="14"/>
                  <w:ind w:left="20" w:right="0" w:firstLine="0"/>
                  <w:jc w:val="left"/>
                  <w:rPr>
                    <w:sz w:val="20"/>
                  </w:rPr>
                </w:pPr>
                <w:r>
                  <w:rPr>
                    <w:sz w:val="20"/>
                  </w:rPr>
                  <w:t>(20)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289.135803pt;margin-top:774.438843pt;width:19.55pt;height:34.7pt;mso-position-horizontal-relative:page;mso-position-vertical-relative:page;z-index:-255517696" type="#_x0000_t202" filled="false" stroked="false">
          <v:textbox inset="0,0,0,0">
            <w:txbxContent>
              <w:p>
                <w:pPr>
                  <w:spacing w:before="296"/>
                  <w:ind w:left="2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38pt;margin-top:787.049866pt;width:13pt;height:20.9pt;mso-position-horizontal-relative:page;mso-position-vertical-relative:page;z-index:-255516672"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135803pt;margin-top:788.251038pt;width:13pt;height:20.9pt;mso-position-horizontal-relative:page;mso-position-vertical-relative:page;z-index:-255515648"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989pt;margin-top:784.049866pt;width:13pt;height:20.9pt;mso-position-horizontal-relative:page;mso-position-vertical-relative:page;z-index:-255514624"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4</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69910pt;margin-top:785.797791pt;width:15.65pt;height:29.15pt;mso-position-horizontal-relative:page;mso-position-vertical-relative:page;z-index:-255513600" type="#_x0000_t202" filled="false" stroked="false">
          <v:textbox inset="0,0,0,0">
            <w:txbxContent>
              <w:p>
                <w:pPr>
                  <w:spacing w:before="183"/>
                  <w:ind w:left="112"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69910pt;margin-top:785.797791pt;width:13pt;height:20.9pt;mso-position-horizontal-relative:page;mso-position-vertical-relative:page;z-index:-255512576"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38373pt;margin-top:791.082764pt;width:9pt;height:20.9pt;mso-position-horizontal-relative:page;mso-position-vertical-relative:page;z-index:-255511552" type="#_x0000_t202" filled="false" stroked="false">
          <v:textbox inset="0,0,0,0">
            <w:txbxContent>
              <w:p>
                <w:pPr>
                  <w:spacing w:before="20"/>
                  <w:ind w:left="20" w:right="0" w:firstLine="0"/>
                  <w:jc w:val="left"/>
                  <w:rPr>
                    <w:rFonts w:ascii="Palatino Linotype"/>
                    <w:b/>
                    <w:sz w:val="28"/>
                  </w:rPr>
                </w:pPr>
                <w:r>
                  <w:rPr>
                    <w:rFonts w:ascii="Palatino Linotype"/>
                    <w:b/>
                    <w:color w:val="231F20"/>
                    <w:sz w:val="28"/>
                  </w:rPr>
                  <w:t>7</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4pt;margin-top:768.545959pt;width:27pt;height:31.4pt;mso-position-horizontal-relative:page;mso-position-vertical-relative:page;z-index:-255510528" type="#_x0000_t202" filled="false" stroked="false">
          <v:textbox inset="0,0,0,0">
            <w:txbxContent>
              <w:p>
                <w:pPr>
                  <w:spacing w:before="145"/>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81376">
          <wp:simplePos x="0" y="0"/>
          <wp:positionH relativeFrom="page">
            <wp:posOffset>5300979</wp:posOffset>
          </wp:positionH>
          <wp:positionV relativeFrom="page">
            <wp:posOffset>9647681</wp:posOffset>
          </wp:positionV>
          <wp:extent cx="1275572" cy="415175"/>
          <wp:effectExtent l="0" t="0" r="0" b="0"/>
          <wp:wrapNone/>
          <wp:docPr id="15" name="image1.jpeg"/>
          <wp:cNvGraphicFramePr>
            <a:graphicFrameLocks noChangeAspect="1"/>
          </wp:cNvGraphicFramePr>
          <a:graphic>
            <a:graphicData uri="http://schemas.openxmlformats.org/drawingml/2006/picture">
              <pic:pic>
                <pic:nvPicPr>
                  <pic:cNvPr id="16" name="image1.jpeg"/>
                  <pic:cNvPicPr/>
                </pic:nvPicPr>
                <pic:blipFill>
                  <a:blip r:embed="rId1" cstate="print"/>
                  <a:stretch>
                    <a:fillRect/>
                  </a:stretch>
                </pic:blipFill>
                <pic:spPr>
                  <a:xfrm>
                    <a:off x="0" y="0"/>
                    <a:ext cx="1275572" cy="415175"/>
                  </a:xfrm>
                  <a:prstGeom prst="rect">
                    <a:avLst/>
                  </a:prstGeom>
                </pic:spPr>
              </pic:pic>
            </a:graphicData>
          </a:graphic>
        </wp:anchor>
      </w:drawing>
    </w:r>
    <w:r>
      <w:rPr/>
      <w:pict>
        <v:shape style="position:absolute;margin-left:76.400002pt;margin-top:769.749146pt;width:19.8pt;height:13.2pt;mso-position-horizontal-relative:page;mso-position-vertical-relative:page;z-index:-255534080" type="#_x0000_t202" filled="false" stroked="false">
          <v:textbox inset="0,0,0,0">
            <w:txbxContent>
              <w:p>
                <w:pPr>
                  <w:spacing w:before="14"/>
                  <w:ind w:left="20" w:right="0" w:firstLine="0"/>
                  <w:jc w:val="left"/>
                  <w:rPr>
                    <w:sz w:val="20"/>
                  </w:rPr>
                </w:pPr>
                <w:r>
                  <w:rPr>
                    <w:sz w:val="20"/>
                  </w:rPr>
                  <w:t>(</w:t>
                </w:r>
                <w:r>
                  <w:rPr/>
                  <w:fldChar w:fldCharType="begin"/>
                </w:r>
                <w:r>
                  <w:rPr>
                    <w:sz w:val="20"/>
                  </w:rPr>
                  <w:instrText> PAGE </w:instrText>
                </w:r>
                <w:r>
                  <w:rPr/>
                  <w:fldChar w:fldCharType="separate"/>
                </w:r>
                <w:r>
                  <w:rPr/>
                  <w:t>21</w:t>
                </w:r>
                <w:r>
                  <w:rPr/>
                  <w:fldChar w:fldCharType="end"/>
                </w:r>
                <w:r>
                  <w:rPr>
                    <w:sz w:val="20"/>
                  </w:rPr>
                  <w: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810303pt;margin-top:779.038269pt;width:13pt;height:20.9pt;mso-position-horizontal-relative:page;mso-position-vertical-relative:page;z-index:-255509504"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pt;margin-top:774.799866pt;width:20pt;height:20.9pt;mso-position-horizontal-relative:page;mso-position-vertical-relative:page;z-index:-255508480"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5012pt;margin-top:774.073547pt;width:20pt;height:20.9pt;mso-position-horizontal-relative:page;mso-position-vertical-relative:page;z-index:-255507456"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17334pt;margin-top:759.194519pt;width:24.75pt;height:21.5pt;mso-position-horizontal-relative:page;mso-position-vertical-relative:page;z-index:-255506432" type="#_x0000_t202" filled="false" stroked="false">
          <v:textbox inset="0,0,0,0">
            <w:txbxContent>
              <w:p>
                <w:pPr>
                  <w:spacing w:before="31"/>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17334pt;margin-top:759.777588pt;width:20pt;height:20.9pt;mso-position-horizontal-relative:page;mso-position-vertical-relative:page;z-index:-255505408"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pt;margin-top:771.951172pt;width:22.8pt;height:25.5pt;mso-position-horizontal-relative:page;mso-position-vertical-relative:page;z-index:-255504384" type="#_x0000_t202" filled="false" stroked="false">
          <v:textbox inset="0,0,0,0">
            <w:txbxContent>
              <w:p>
                <w:pPr>
                  <w:spacing w:before="112"/>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19</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7734pt;margin-top:772.656128pt;width:20pt;height:20.9pt;mso-position-horizontal-relative:page;mso-position-vertical-relative:page;z-index:-255503360"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638pt;margin-top:771.951172pt;width:20pt;height:20.9pt;mso-position-horizontal-relative:page;mso-position-vertical-relative:page;z-index:-255502336"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776001pt;margin-top:774.299866pt;width:20pt;height:20.9pt;mso-position-horizontal-relative:page;mso-position-vertical-relative:page;z-index:-255501312"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17</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pt;margin-top:774.077148pt;width:20pt;height:20.9pt;mso-position-horizontal-relative:page;mso-position-vertical-relative:page;z-index:-255500288"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pt;margin-top:776.549866pt;width:20pt;height:20.9pt;mso-position-horizontal-relative:page;mso-position-vertical-relative:page;z-index:-255499264"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19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069855pt;margin-top:774.076416pt;width:32.5pt;height:22.9pt;mso-position-horizontal-relative:page;mso-position-vertical-relative:page;z-index:-255498240" type="#_x0000_t202" filled="false" stroked="false">
          <v:textbox inset="0,0,0,0">
            <w:txbxContent>
              <w:p>
                <w:pPr>
                  <w:spacing w:before="6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20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535004pt;margin-top:776.077148pt;width:20pt;height:20.9pt;mso-position-horizontal-relative:page;mso-position-vertical-relative:page;z-index:-255497216"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21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212921pt;margin-top:774.076416pt;width:20pt;height:20.9pt;mso-position-horizontal-relative:page;mso-position-vertical-relative:page;z-index:-255496192"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22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81pt;margin-top:774.799866pt;width:29.1pt;height:35.7pt;mso-position-horizontal-relative:page;mso-position-vertical-relative:page;z-index:-255495168" type="#_x0000_t202" filled="false" stroked="false">
          <v:textbox inset="0,0,0,0">
            <w:txbxContent>
              <w:p>
                <w:pPr>
                  <w:spacing w:before="315"/>
                  <w:ind w:left="241"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24</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53009pt;margin-top:789.579224pt;width:20pt;height:20.9pt;mso-position-horizontal-relative:page;mso-position-vertical-relative:page;z-index:-255494144" type="#_x0000_t202" filled="false" stroked="false">
          <v:textbox inset="0,0,0,0">
            <w:txbxContent>
              <w:p>
                <w:pPr>
                  <w:spacing w:before="20"/>
                  <w:ind w:left="60" w:right="0" w:firstLine="0"/>
                  <w:jc w:val="left"/>
                  <w:rPr>
                    <w:rFonts w:ascii="Palatino Linotype"/>
                    <w:b/>
                    <w:sz w:val="28"/>
                  </w:rPr>
                </w:pPr>
                <w:r>
                  <w:rPr/>
                  <w:fldChar w:fldCharType="begin"/>
                </w:r>
                <w:r>
                  <w:rPr>
                    <w:rFonts w:ascii="Palatino Linotype"/>
                    <w:b/>
                    <w:color w:val="231F20"/>
                    <w:sz w:val="28"/>
                  </w:rPr>
                  <w:instrText> PAGE </w:instrText>
                </w:r>
                <w:r>
                  <w:rPr/>
                  <w:fldChar w:fldCharType="separate"/>
                </w:r>
                <w:r>
                  <w:rPr/>
                  <w:t>24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399994pt;margin-top:791.755981pt;width:19.350pt;height:16.1pt;mso-position-horizontal-relative:page;mso-position-vertical-relative:page;z-index:-255532032" type="#_x0000_t202" filled="false" stroked="false">
          <v:textbox inset="0,0,0,0">
            <w:txbxContent>
              <w:p>
                <w:pPr>
                  <w:pStyle w:val="BodyText"/>
                  <w:spacing w:before="16"/>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399994pt;margin-top:791.755981pt;width:19.350pt;height:16.1pt;mso-position-horizontal-relative:page;mso-position-vertical-relative:page;z-index:-255528960" type="#_x0000_t202" filled="false" stroked="false">
          <v:textbox inset="0,0,0,0">
            <w:txbxContent>
              <w:p>
                <w:pPr>
                  <w:pStyle w:val="BodyText"/>
                  <w:spacing w:before="16"/>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61.720001pt;margin-top:34.749142pt;width:62.65pt;height:13.2pt;mso-position-horizontal-relative:page;mso-position-vertical-relative:page;z-index:-255541248" type="#_x0000_t202" filled="false" stroked="false">
          <v:textbox inset="0,0,0,0">
            <w:txbxContent>
              <w:p>
                <w:pPr>
                  <w:spacing w:before="14"/>
                  <w:ind w:left="20" w:right="0" w:firstLine="0"/>
                  <w:jc w:val="left"/>
                  <w:rPr>
                    <w:sz w:val="20"/>
                  </w:rPr>
                </w:pPr>
                <w:hyperlink w:history="true" w:anchor="_bookmark0">
                  <w:r>
                    <w:rPr>
                      <w:sz w:val="20"/>
                      <w:u w:val="single"/>
                    </w:rPr>
                    <w:t>Back to Index</w:t>
                  </w:r>
                </w:hyperlink>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050015pt;mso-position-horizontal-relative:page;mso-position-vertical-relative:page;z-index:-255518720" filled="true" fillcolor="#008790" stroked="false">
          <v:fill type="solid"/>
          <w10:wrap type="none"/>
        </v:rect>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1.720001pt;margin-top:34.749142pt;width:62.65pt;height:13.2pt;mso-position-horizontal-relative:page;mso-position-vertical-relative:page;z-index:-255536128" type="#_x0000_t202" filled="false" stroked="false">
          <v:textbox inset="0,0,0,0">
            <w:txbxContent>
              <w:p>
                <w:pPr>
                  <w:spacing w:before="14"/>
                  <w:ind w:left="20" w:right="0" w:firstLine="0"/>
                  <w:jc w:val="left"/>
                  <w:rPr>
                    <w:sz w:val="20"/>
                  </w:rPr>
                </w:pPr>
                <w:hyperlink w:history="true" w:anchor="_bookmark0">
                  <w:r>
                    <w:rPr>
                      <w:sz w:val="20"/>
                      <w:u w:val="single"/>
                    </w:rPr>
                    <w:t>Back to Index</w:t>
                  </w:r>
                </w:hyperlink>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001015pt;mso-position-horizontal-relative:page;mso-position-vertical-relative:page;z-index:-255493120" filled="true" fillcolor="#008790" stroked="false">
          <v:fill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720001pt;margin-top:34.411983pt;width:42.65pt;height:16.3pt;mso-position-horizontal-relative:page;mso-position-vertical-relative:page;z-index:-255533056" type="#_x0000_t202" filled="false" stroked="false">
          <v:textbox inset="0,0,0,0">
            <w:txbxContent>
              <w:p>
                <w:pPr>
                  <w:spacing w:before="20"/>
                  <w:ind w:left="20" w:right="0" w:firstLine="0"/>
                  <w:jc w:val="left"/>
                  <w:rPr>
                    <w:b/>
                    <w:sz w:val="24"/>
                  </w:rPr>
                </w:pPr>
                <w:r>
                  <w:rPr>
                    <w:b/>
                    <w:sz w:val="24"/>
                  </w:rPr>
                  <w:t>DRAFT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660004pt;margin-top:34.411983pt;width:42.65pt;height:16.3pt;mso-position-horizontal-relative:page;mso-position-vertical-relative:page;z-index:-255531008" type="#_x0000_t202" filled="false" stroked="false">
          <v:textbox inset="0,0,0,0">
            <w:txbxContent>
              <w:p>
                <w:pPr>
                  <w:spacing w:before="20"/>
                  <w:ind w:left="20" w:right="0" w:firstLine="0"/>
                  <w:jc w:val="left"/>
                  <w:rPr>
                    <w:b/>
                    <w:sz w:val="24"/>
                  </w:rPr>
                </w:pPr>
                <w:r>
                  <w:rPr>
                    <w:b/>
                    <w:sz w:val="24"/>
                  </w:rPr>
                  <w:t>DRAFT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720001pt;margin-top:34.411983pt;width:42.65pt;height:16.3pt;mso-position-horizontal-relative:page;mso-position-vertical-relative:page;z-index:-255529984" type="#_x0000_t202" filled="false" stroked="false">
          <v:textbox inset="0,0,0,0">
            <w:txbxContent>
              <w:p>
                <w:pPr>
                  <w:spacing w:before="20"/>
                  <w:ind w:left="20" w:right="0" w:firstLine="0"/>
                  <w:jc w:val="left"/>
                  <w:rPr>
                    <w:b/>
                    <w:sz w:val="24"/>
                  </w:rPr>
                </w:pPr>
                <w:r>
                  <w:rPr>
                    <w:b/>
                    <w:sz w:val="24"/>
                  </w:rPr>
                  <w:t>DRAFT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1.720001pt;margin-top:34.749142pt;width:62.65pt;height:13.2pt;mso-position-horizontal-relative:page;mso-position-vertical-relative:page;z-index:-255527936" type="#_x0000_t202" filled="false" stroked="false">
          <v:textbox inset="0,0,0,0">
            <w:txbxContent>
              <w:p>
                <w:pPr>
                  <w:spacing w:before="14"/>
                  <w:ind w:left="20" w:right="0" w:firstLine="0"/>
                  <w:jc w:val="left"/>
                  <w:rPr>
                    <w:sz w:val="20"/>
                  </w:rPr>
                </w:pPr>
                <w:hyperlink w:history="true" w:anchor="_bookmark0">
                  <w:r>
                    <w:rPr>
                      <w:sz w:val="20"/>
                      <w:u w:val="single"/>
                    </w:rPr>
                    <w:t>Back to Index</w:t>
                  </w:r>
                </w:hyperlink>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8">
    <w:multiLevelType w:val="hybridMultilevel"/>
    <w:lvl w:ilvl="0">
      <w:start w:val="2"/>
      <w:numFmt w:val="decimal"/>
      <w:lvlText w:val="%1"/>
      <w:lvlJc w:val="left"/>
      <w:pPr>
        <w:ind w:left="964" w:hanging="852"/>
        <w:jc w:val="left"/>
      </w:pPr>
      <w:rPr>
        <w:rFonts w:hint="default"/>
        <w:lang w:val="en-gb" w:eastAsia="en-gb" w:bidi="en-gb"/>
      </w:rPr>
    </w:lvl>
    <w:lvl w:ilvl="1">
      <w:start w:val="3"/>
      <w:numFmt w:val="decimal"/>
      <w:lvlText w:val="%1.%2"/>
      <w:lvlJc w:val="left"/>
      <w:pPr>
        <w:ind w:left="964" w:hanging="852"/>
        <w:jc w:val="left"/>
      </w:pPr>
      <w:rPr>
        <w:rFonts w:hint="default"/>
        <w:lang w:val="en-gb" w:eastAsia="en-gb" w:bidi="en-gb"/>
      </w:rPr>
    </w:lvl>
    <w:lvl w:ilvl="2">
      <w:start w:val="3"/>
      <w:numFmt w:val="decimal"/>
      <w:lvlText w:val="%1.%2.%3"/>
      <w:lvlJc w:val="left"/>
      <w:pPr>
        <w:ind w:left="964" w:hanging="852"/>
        <w:jc w:val="left"/>
      </w:pPr>
      <w:rPr>
        <w:rFonts w:hint="default"/>
        <w:lang w:val="en-gb" w:eastAsia="en-gb" w:bidi="en-gb"/>
      </w:rPr>
    </w:lvl>
    <w:lvl w:ilvl="3">
      <w:start w:val="1"/>
      <w:numFmt w:val="decimal"/>
      <w:lvlText w:val="%1.%2.%3.%4."/>
      <w:lvlJc w:val="left"/>
      <w:pPr>
        <w:ind w:left="964"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319" w:hanging="852"/>
      </w:pPr>
      <w:rPr>
        <w:rFonts w:hint="default"/>
        <w:lang w:val="en-gb" w:eastAsia="en-gb" w:bidi="en-gb"/>
      </w:rPr>
    </w:lvl>
    <w:lvl w:ilvl="5">
      <w:start w:val="0"/>
      <w:numFmt w:val="bullet"/>
      <w:lvlText w:val="•"/>
      <w:lvlJc w:val="left"/>
      <w:pPr>
        <w:ind w:left="3909" w:hanging="852"/>
      </w:pPr>
      <w:rPr>
        <w:rFonts w:hint="default"/>
        <w:lang w:val="en-gb" w:eastAsia="en-gb" w:bidi="en-gb"/>
      </w:rPr>
    </w:lvl>
    <w:lvl w:ilvl="6">
      <w:start w:val="0"/>
      <w:numFmt w:val="bullet"/>
      <w:lvlText w:val="•"/>
      <w:lvlJc w:val="left"/>
      <w:pPr>
        <w:ind w:left="4498" w:hanging="852"/>
      </w:pPr>
      <w:rPr>
        <w:rFonts w:hint="default"/>
        <w:lang w:val="en-gb" w:eastAsia="en-gb" w:bidi="en-gb"/>
      </w:rPr>
    </w:lvl>
    <w:lvl w:ilvl="7">
      <w:start w:val="0"/>
      <w:numFmt w:val="bullet"/>
      <w:lvlText w:val="•"/>
      <w:lvlJc w:val="left"/>
      <w:pPr>
        <w:ind w:left="5088" w:hanging="852"/>
      </w:pPr>
      <w:rPr>
        <w:rFonts w:hint="default"/>
        <w:lang w:val="en-gb" w:eastAsia="en-gb" w:bidi="en-gb"/>
      </w:rPr>
    </w:lvl>
    <w:lvl w:ilvl="8">
      <w:start w:val="0"/>
      <w:numFmt w:val="bullet"/>
      <w:lvlText w:val="•"/>
      <w:lvlJc w:val="left"/>
      <w:pPr>
        <w:ind w:left="5678" w:hanging="852"/>
      </w:pPr>
      <w:rPr>
        <w:rFonts w:hint="default"/>
        <w:lang w:val="en-gb" w:eastAsia="en-gb" w:bidi="en-gb"/>
      </w:rPr>
    </w:lvl>
  </w:abstractNum>
  <w:abstractNum w:abstractNumId="77">
    <w:multiLevelType w:val="hybridMultilevel"/>
    <w:lvl w:ilvl="0">
      <w:start w:val="1"/>
      <w:numFmt w:val="decimal"/>
      <w:lvlText w:val="%1"/>
      <w:lvlJc w:val="left"/>
      <w:pPr>
        <w:ind w:left="964" w:hanging="852"/>
        <w:jc w:val="left"/>
      </w:pPr>
      <w:rPr>
        <w:rFonts w:hint="default"/>
        <w:lang w:val="en-gb" w:eastAsia="en-gb" w:bidi="en-gb"/>
      </w:rPr>
    </w:lvl>
    <w:lvl w:ilvl="1">
      <w:start w:val="3"/>
      <w:numFmt w:val="decimal"/>
      <w:lvlText w:val="%1.%2"/>
      <w:lvlJc w:val="left"/>
      <w:pPr>
        <w:ind w:left="964" w:hanging="852"/>
        <w:jc w:val="left"/>
      </w:pPr>
      <w:rPr>
        <w:rFonts w:hint="default"/>
        <w:lang w:val="en-gb" w:eastAsia="en-gb" w:bidi="en-gb"/>
      </w:rPr>
    </w:lvl>
    <w:lvl w:ilvl="2">
      <w:start w:val="3"/>
      <w:numFmt w:val="decimal"/>
      <w:lvlText w:val="%1.%2.%3"/>
      <w:lvlJc w:val="left"/>
      <w:pPr>
        <w:ind w:left="964" w:hanging="852"/>
        <w:jc w:val="left"/>
      </w:pPr>
      <w:rPr>
        <w:rFonts w:hint="default"/>
        <w:lang w:val="en-gb" w:eastAsia="en-gb" w:bidi="en-gb"/>
      </w:rPr>
    </w:lvl>
    <w:lvl w:ilvl="3">
      <w:start w:val="1"/>
      <w:numFmt w:val="decimal"/>
      <w:lvlText w:val="%1.%2.%3.%4."/>
      <w:lvlJc w:val="left"/>
      <w:pPr>
        <w:ind w:left="964"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2940" w:hanging="852"/>
      </w:pPr>
      <w:rPr>
        <w:rFonts w:hint="default"/>
        <w:lang w:val="en-gb" w:eastAsia="en-gb" w:bidi="en-gb"/>
      </w:rPr>
    </w:lvl>
    <w:lvl w:ilvl="5">
      <w:start w:val="0"/>
      <w:numFmt w:val="bullet"/>
      <w:lvlText w:val="•"/>
      <w:lvlJc w:val="left"/>
      <w:pPr>
        <w:ind w:left="3436" w:hanging="852"/>
      </w:pPr>
      <w:rPr>
        <w:rFonts w:hint="default"/>
        <w:lang w:val="en-gb" w:eastAsia="en-gb" w:bidi="en-gb"/>
      </w:rPr>
    </w:lvl>
    <w:lvl w:ilvl="6">
      <w:start w:val="0"/>
      <w:numFmt w:val="bullet"/>
      <w:lvlText w:val="•"/>
      <w:lvlJc w:val="left"/>
      <w:pPr>
        <w:ind w:left="3931" w:hanging="852"/>
      </w:pPr>
      <w:rPr>
        <w:rFonts w:hint="default"/>
        <w:lang w:val="en-gb" w:eastAsia="en-gb" w:bidi="en-gb"/>
      </w:rPr>
    </w:lvl>
    <w:lvl w:ilvl="7">
      <w:start w:val="0"/>
      <w:numFmt w:val="bullet"/>
      <w:lvlText w:val="•"/>
      <w:lvlJc w:val="left"/>
      <w:pPr>
        <w:ind w:left="4426" w:hanging="852"/>
      </w:pPr>
      <w:rPr>
        <w:rFonts w:hint="default"/>
        <w:lang w:val="en-gb" w:eastAsia="en-gb" w:bidi="en-gb"/>
      </w:rPr>
    </w:lvl>
    <w:lvl w:ilvl="8">
      <w:start w:val="0"/>
      <w:numFmt w:val="bullet"/>
      <w:lvlText w:val="•"/>
      <w:lvlJc w:val="left"/>
      <w:pPr>
        <w:ind w:left="4921" w:hanging="852"/>
      </w:pPr>
      <w:rPr>
        <w:rFonts w:hint="default"/>
        <w:lang w:val="en-gb" w:eastAsia="en-gb" w:bidi="en-gb"/>
      </w:rPr>
    </w:lvl>
  </w:abstractNum>
  <w:abstractNum w:abstractNumId="76">
    <w:multiLevelType w:val="hybridMultilevel"/>
    <w:lvl w:ilvl="0">
      <w:start w:val="2"/>
      <w:numFmt w:val="decimal"/>
      <w:lvlText w:val="%1"/>
      <w:lvlJc w:val="left"/>
      <w:pPr>
        <w:ind w:left="964" w:hanging="852"/>
        <w:jc w:val="left"/>
      </w:pPr>
      <w:rPr>
        <w:rFonts w:hint="default"/>
        <w:lang w:val="en-gb" w:eastAsia="en-gb" w:bidi="en-gb"/>
      </w:rPr>
    </w:lvl>
    <w:lvl w:ilvl="1">
      <w:start w:val="3"/>
      <w:numFmt w:val="decimal"/>
      <w:lvlText w:val="%1.%2"/>
      <w:lvlJc w:val="left"/>
      <w:pPr>
        <w:ind w:left="964" w:hanging="852"/>
        <w:jc w:val="left"/>
      </w:pPr>
      <w:rPr>
        <w:rFonts w:hint="default"/>
        <w:lang w:val="en-gb" w:eastAsia="en-gb" w:bidi="en-gb"/>
      </w:rPr>
    </w:lvl>
    <w:lvl w:ilvl="2">
      <w:start w:val="2"/>
      <w:numFmt w:val="decimal"/>
      <w:lvlText w:val="%1.%2.%3"/>
      <w:lvlJc w:val="left"/>
      <w:pPr>
        <w:ind w:left="964" w:hanging="852"/>
        <w:jc w:val="left"/>
      </w:pPr>
      <w:rPr>
        <w:rFonts w:hint="default"/>
        <w:lang w:val="en-gb" w:eastAsia="en-gb" w:bidi="en-gb"/>
      </w:rPr>
    </w:lvl>
    <w:lvl w:ilvl="3">
      <w:start w:val="1"/>
      <w:numFmt w:val="decimal"/>
      <w:lvlText w:val="%1.%2.%3.%4."/>
      <w:lvlJc w:val="left"/>
      <w:pPr>
        <w:ind w:left="964"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319" w:hanging="852"/>
      </w:pPr>
      <w:rPr>
        <w:rFonts w:hint="default"/>
        <w:lang w:val="en-gb" w:eastAsia="en-gb" w:bidi="en-gb"/>
      </w:rPr>
    </w:lvl>
    <w:lvl w:ilvl="5">
      <w:start w:val="0"/>
      <w:numFmt w:val="bullet"/>
      <w:lvlText w:val="•"/>
      <w:lvlJc w:val="left"/>
      <w:pPr>
        <w:ind w:left="3909" w:hanging="852"/>
      </w:pPr>
      <w:rPr>
        <w:rFonts w:hint="default"/>
        <w:lang w:val="en-gb" w:eastAsia="en-gb" w:bidi="en-gb"/>
      </w:rPr>
    </w:lvl>
    <w:lvl w:ilvl="6">
      <w:start w:val="0"/>
      <w:numFmt w:val="bullet"/>
      <w:lvlText w:val="•"/>
      <w:lvlJc w:val="left"/>
      <w:pPr>
        <w:ind w:left="4498" w:hanging="852"/>
      </w:pPr>
      <w:rPr>
        <w:rFonts w:hint="default"/>
        <w:lang w:val="en-gb" w:eastAsia="en-gb" w:bidi="en-gb"/>
      </w:rPr>
    </w:lvl>
    <w:lvl w:ilvl="7">
      <w:start w:val="0"/>
      <w:numFmt w:val="bullet"/>
      <w:lvlText w:val="•"/>
      <w:lvlJc w:val="left"/>
      <w:pPr>
        <w:ind w:left="5088" w:hanging="852"/>
      </w:pPr>
      <w:rPr>
        <w:rFonts w:hint="default"/>
        <w:lang w:val="en-gb" w:eastAsia="en-gb" w:bidi="en-gb"/>
      </w:rPr>
    </w:lvl>
    <w:lvl w:ilvl="8">
      <w:start w:val="0"/>
      <w:numFmt w:val="bullet"/>
      <w:lvlText w:val="•"/>
      <w:lvlJc w:val="left"/>
      <w:pPr>
        <w:ind w:left="5678" w:hanging="852"/>
      </w:pPr>
      <w:rPr>
        <w:rFonts w:hint="default"/>
        <w:lang w:val="en-gb" w:eastAsia="en-gb" w:bidi="en-gb"/>
      </w:rPr>
    </w:lvl>
  </w:abstractNum>
  <w:abstractNum w:abstractNumId="75">
    <w:multiLevelType w:val="hybridMultilevel"/>
    <w:lvl w:ilvl="0">
      <w:start w:val="1"/>
      <w:numFmt w:val="decimal"/>
      <w:lvlText w:val="%1"/>
      <w:lvlJc w:val="left"/>
      <w:pPr>
        <w:ind w:left="964" w:hanging="852"/>
        <w:jc w:val="left"/>
      </w:pPr>
      <w:rPr>
        <w:rFonts w:hint="default"/>
        <w:lang w:val="en-gb" w:eastAsia="en-gb" w:bidi="en-gb"/>
      </w:rPr>
    </w:lvl>
    <w:lvl w:ilvl="1">
      <w:start w:val="3"/>
      <w:numFmt w:val="decimal"/>
      <w:lvlText w:val="%1.%2"/>
      <w:lvlJc w:val="left"/>
      <w:pPr>
        <w:ind w:left="964" w:hanging="852"/>
        <w:jc w:val="left"/>
      </w:pPr>
      <w:rPr>
        <w:rFonts w:hint="default"/>
        <w:lang w:val="en-gb" w:eastAsia="en-gb" w:bidi="en-gb"/>
      </w:rPr>
    </w:lvl>
    <w:lvl w:ilvl="2">
      <w:start w:val="2"/>
      <w:numFmt w:val="decimal"/>
      <w:lvlText w:val="%1.%2.%3"/>
      <w:lvlJc w:val="left"/>
      <w:pPr>
        <w:ind w:left="964" w:hanging="852"/>
        <w:jc w:val="left"/>
      </w:pPr>
      <w:rPr>
        <w:rFonts w:hint="default"/>
        <w:lang w:val="en-gb" w:eastAsia="en-gb" w:bidi="en-gb"/>
      </w:rPr>
    </w:lvl>
    <w:lvl w:ilvl="3">
      <w:start w:val="1"/>
      <w:numFmt w:val="decimal"/>
      <w:lvlText w:val="%1.%2.%3.%4."/>
      <w:lvlJc w:val="left"/>
      <w:pPr>
        <w:ind w:left="964"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2940" w:hanging="852"/>
      </w:pPr>
      <w:rPr>
        <w:rFonts w:hint="default"/>
        <w:lang w:val="en-gb" w:eastAsia="en-gb" w:bidi="en-gb"/>
      </w:rPr>
    </w:lvl>
    <w:lvl w:ilvl="5">
      <w:start w:val="0"/>
      <w:numFmt w:val="bullet"/>
      <w:lvlText w:val="•"/>
      <w:lvlJc w:val="left"/>
      <w:pPr>
        <w:ind w:left="3436" w:hanging="852"/>
      </w:pPr>
      <w:rPr>
        <w:rFonts w:hint="default"/>
        <w:lang w:val="en-gb" w:eastAsia="en-gb" w:bidi="en-gb"/>
      </w:rPr>
    </w:lvl>
    <w:lvl w:ilvl="6">
      <w:start w:val="0"/>
      <w:numFmt w:val="bullet"/>
      <w:lvlText w:val="•"/>
      <w:lvlJc w:val="left"/>
      <w:pPr>
        <w:ind w:left="3931" w:hanging="852"/>
      </w:pPr>
      <w:rPr>
        <w:rFonts w:hint="default"/>
        <w:lang w:val="en-gb" w:eastAsia="en-gb" w:bidi="en-gb"/>
      </w:rPr>
    </w:lvl>
    <w:lvl w:ilvl="7">
      <w:start w:val="0"/>
      <w:numFmt w:val="bullet"/>
      <w:lvlText w:val="•"/>
      <w:lvlJc w:val="left"/>
      <w:pPr>
        <w:ind w:left="4426" w:hanging="852"/>
      </w:pPr>
      <w:rPr>
        <w:rFonts w:hint="default"/>
        <w:lang w:val="en-gb" w:eastAsia="en-gb" w:bidi="en-gb"/>
      </w:rPr>
    </w:lvl>
    <w:lvl w:ilvl="8">
      <w:start w:val="0"/>
      <w:numFmt w:val="bullet"/>
      <w:lvlText w:val="•"/>
      <w:lvlJc w:val="left"/>
      <w:pPr>
        <w:ind w:left="4921" w:hanging="852"/>
      </w:pPr>
      <w:rPr>
        <w:rFonts w:hint="default"/>
        <w:lang w:val="en-gb" w:eastAsia="en-gb" w:bidi="en-gb"/>
      </w:rPr>
    </w:lvl>
  </w:abstractNum>
  <w:abstractNum w:abstractNumId="74">
    <w:multiLevelType w:val="hybridMultilevel"/>
    <w:lvl w:ilvl="0">
      <w:start w:val="2"/>
      <w:numFmt w:val="decimal"/>
      <w:lvlText w:val="%1"/>
      <w:lvlJc w:val="left"/>
      <w:pPr>
        <w:ind w:left="959" w:hanging="852"/>
        <w:jc w:val="left"/>
      </w:pPr>
      <w:rPr>
        <w:rFonts w:hint="default"/>
        <w:lang w:val="en-gb" w:eastAsia="en-gb" w:bidi="en-gb"/>
      </w:rPr>
    </w:lvl>
    <w:lvl w:ilvl="1">
      <w:start w:val="3"/>
      <w:numFmt w:val="decimal"/>
      <w:lvlText w:val="%1.%2"/>
      <w:lvlJc w:val="left"/>
      <w:pPr>
        <w:ind w:left="959" w:hanging="852"/>
        <w:jc w:val="left"/>
      </w:pPr>
      <w:rPr>
        <w:rFonts w:hint="default"/>
        <w:lang w:val="en-gb" w:eastAsia="en-gb" w:bidi="en-gb"/>
      </w:rPr>
    </w:lvl>
    <w:lvl w:ilvl="2">
      <w:start w:val="1"/>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315" w:hanging="852"/>
      </w:pPr>
      <w:rPr>
        <w:rFonts w:hint="default"/>
        <w:lang w:val="en-gb" w:eastAsia="en-gb" w:bidi="en-gb"/>
      </w:rPr>
    </w:lvl>
    <w:lvl w:ilvl="5">
      <w:start w:val="0"/>
      <w:numFmt w:val="bullet"/>
      <w:lvlText w:val="•"/>
      <w:lvlJc w:val="left"/>
      <w:pPr>
        <w:ind w:left="3904" w:hanging="852"/>
      </w:pPr>
      <w:rPr>
        <w:rFonts w:hint="default"/>
        <w:lang w:val="en-gb" w:eastAsia="en-gb" w:bidi="en-gb"/>
      </w:rPr>
    </w:lvl>
    <w:lvl w:ilvl="6">
      <w:start w:val="0"/>
      <w:numFmt w:val="bullet"/>
      <w:lvlText w:val="•"/>
      <w:lvlJc w:val="left"/>
      <w:pPr>
        <w:ind w:left="4492" w:hanging="852"/>
      </w:pPr>
      <w:rPr>
        <w:rFonts w:hint="default"/>
        <w:lang w:val="en-gb" w:eastAsia="en-gb" w:bidi="en-gb"/>
      </w:rPr>
    </w:lvl>
    <w:lvl w:ilvl="7">
      <w:start w:val="0"/>
      <w:numFmt w:val="bullet"/>
      <w:lvlText w:val="•"/>
      <w:lvlJc w:val="left"/>
      <w:pPr>
        <w:ind w:left="5081" w:hanging="852"/>
      </w:pPr>
      <w:rPr>
        <w:rFonts w:hint="default"/>
        <w:lang w:val="en-gb" w:eastAsia="en-gb" w:bidi="en-gb"/>
      </w:rPr>
    </w:lvl>
    <w:lvl w:ilvl="8">
      <w:start w:val="0"/>
      <w:numFmt w:val="bullet"/>
      <w:lvlText w:val="•"/>
      <w:lvlJc w:val="left"/>
      <w:pPr>
        <w:ind w:left="5670" w:hanging="852"/>
      </w:pPr>
      <w:rPr>
        <w:rFonts w:hint="default"/>
        <w:lang w:val="en-gb" w:eastAsia="en-gb" w:bidi="en-gb"/>
      </w:rPr>
    </w:lvl>
  </w:abstractNum>
  <w:abstractNum w:abstractNumId="73">
    <w:multiLevelType w:val="hybridMultilevel"/>
    <w:lvl w:ilvl="0">
      <w:start w:val="1"/>
      <w:numFmt w:val="decimal"/>
      <w:lvlText w:val="%1"/>
      <w:lvlJc w:val="left"/>
      <w:pPr>
        <w:ind w:left="959" w:hanging="852"/>
        <w:jc w:val="left"/>
      </w:pPr>
      <w:rPr>
        <w:rFonts w:hint="default"/>
        <w:lang w:val="en-gb" w:eastAsia="en-gb" w:bidi="en-gb"/>
      </w:rPr>
    </w:lvl>
    <w:lvl w:ilvl="1">
      <w:start w:val="3"/>
      <w:numFmt w:val="decimal"/>
      <w:lvlText w:val="%1.%2"/>
      <w:lvlJc w:val="left"/>
      <w:pPr>
        <w:ind w:left="959" w:hanging="852"/>
        <w:jc w:val="left"/>
      </w:pPr>
      <w:rPr>
        <w:rFonts w:hint="default"/>
        <w:lang w:val="en-gb" w:eastAsia="en-gb" w:bidi="en-gb"/>
      </w:rPr>
    </w:lvl>
    <w:lvl w:ilvl="2">
      <w:start w:val="1"/>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2936" w:hanging="852"/>
      </w:pPr>
      <w:rPr>
        <w:rFonts w:hint="default"/>
        <w:lang w:val="en-gb" w:eastAsia="en-gb" w:bidi="en-gb"/>
      </w:rPr>
    </w:lvl>
    <w:lvl w:ilvl="5">
      <w:start w:val="0"/>
      <w:numFmt w:val="bullet"/>
      <w:lvlText w:val="•"/>
      <w:lvlJc w:val="left"/>
      <w:pPr>
        <w:ind w:left="3431" w:hanging="852"/>
      </w:pPr>
      <w:rPr>
        <w:rFonts w:hint="default"/>
        <w:lang w:val="en-gb" w:eastAsia="en-gb" w:bidi="en-gb"/>
      </w:rPr>
    </w:lvl>
    <w:lvl w:ilvl="6">
      <w:start w:val="0"/>
      <w:numFmt w:val="bullet"/>
      <w:lvlText w:val="•"/>
      <w:lvlJc w:val="left"/>
      <w:pPr>
        <w:ind w:left="3925" w:hanging="852"/>
      </w:pPr>
      <w:rPr>
        <w:rFonts w:hint="default"/>
        <w:lang w:val="en-gb" w:eastAsia="en-gb" w:bidi="en-gb"/>
      </w:rPr>
    </w:lvl>
    <w:lvl w:ilvl="7">
      <w:start w:val="0"/>
      <w:numFmt w:val="bullet"/>
      <w:lvlText w:val="•"/>
      <w:lvlJc w:val="left"/>
      <w:pPr>
        <w:ind w:left="4419" w:hanging="852"/>
      </w:pPr>
      <w:rPr>
        <w:rFonts w:hint="default"/>
        <w:lang w:val="en-gb" w:eastAsia="en-gb" w:bidi="en-gb"/>
      </w:rPr>
    </w:lvl>
    <w:lvl w:ilvl="8">
      <w:start w:val="0"/>
      <w:numFmt w:val="bullet"/>
      <w:lvlText w:val="•"/>
      <w:lvlJc w:val="left"/>
      <w:pPr>
        <w:ind w:left="4913" w:hanging="852"/>
      </w:pPr>
      <w:rPr>
        <w:rFonts w:hint="default"/>
        <w:lang w:val="en-gb" w:eastAsia="en-gb" w:bidi="en-gb"/>
      </w:rPr>
    </w:lvl>
  </w:abstractNum>
  <w:abstractNum w:abstractNumId="72">
    <w:multiLevelType w:val="hybridMultilevel"/>
    <w:lvl w:ilvl="0">
      <w:start w:val="2"/>
      <w:numFmt w:val="decimal"/>
      <w:lvlText w:val="%1"/>
      <w:lvlJc w:val="left"/>
      <w:pPr>
        <w:ind w:left="957" w:hanging="852"/>
        <w:jc w:val="left"/>
      </w:pPr>
      <w:rPr>
        <w:rFonts w:hint="default"/>
        <w:lang w:val="en-gb" w:eastAsia="en-gb" w:bidi="en-gb"/>
      </w:rPr>
    </w:lvl>
    <w:lvl w:ilvl="1">
      <w:start w:val="2"/>
      <w:numFmt w:val="decimal"/>
      <w:lvlText w:val="%1.%2"/>
      <w:lvlJc w:val="left"/>
      <w:pPr>
        <w:ind w:left="957" w:hanging="852"/>
        <w:jc w:val="left"/>
      </w:pPr>
      <w:rPr>
        <w:rFonts w:hint="default"/>
        <w:lang w:val="en-gb" w:eastAsia="en-gb" w:bidi="en-gb"/>
      </w:rPr>
    </w:lvl>
    <w:lvl w:ilvl="2">
      <w:start w:val="4"/>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71">
    <w:multiLevelType w:val="hybridMultilevel"/>
    <w:lvl w:ilvl="0">
      <w:start w:val="1"/>
      <w:numFmt w:val="decimal"/>
      <w:lvlText w:val="%1"/>
      <w:lvlJc w:val="left"/>
      <w:pPr>
        <w:ind w:left="959" w:hanging="852"/>
        <w:jc w:val="left"/>
      </w:pPr>
      <w:rPr>
        <w:rFonts w:hint="default"/>
        <w:lang w:val="en-gb" w:eastAsia="en-gb" w:bidi="en-gb"/>
      </w:rPr>
    </w:lvl>
    <w:lvl w:ilvl="1">
      <w:start w:val="2"/>
      <w:numFmt w:val="decimal"/>
      <w:lvlText w:val="%1.%2"/>
      <w:lvlJc w:val="left"/>
      <w:pPr>
        <w:ind w:left="959" w:hanging="852"/>
        <w:jc w:val="left"/>
      </w:pPr>
      <w:rPr>
        <w:rFonts w:hint="default"/>
        <w:lang w:val="en-gb" w:eastAsia="en-gb" w:bidi="en-gb"/>
      </w:rPr>
    </w:lvl>
    <w:lvl w:ilvl="2">
      <w:start w:val="4"/>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70">
    <w:multiLevelType w:val="hybridMultilevel"/>
    <w:lvl w:ilvl="0">
      <w:start w:val="2"/>
      <w:numFmt w:val="decimal"/>
      <w:lvlText w:val="%1"/>
      <w:lvlJc w:val="left"/>
      <w:pPr>
        <w:ind w:left="957" w:hanging="852"/>
        <w:jc w:val="left"/>
      </w:pPr>
      <w:rPr>
        <w:rFonts w:hint="default"/>
        <w:lang w:val="en-gb" w:eastAsia="en-gb" w:bidi="en-gb"/>
      </w:rPr>
    </w:lvl>
    <w:lvl w:ilvl="1">
      <w:start w:val="2"/>
      <w:numFmt w:val="decimal"/>
      <w:lvlText w:val="%1.%2"/>
      <w:lvlJc w:val="left"/>
      <w:pPr>
        <w:ind w:left="957" w:hanging="852"/>
        <w:jc w:val="left"/>
      </w:pPr>
      <w:rPr>
        <w:rFonts w:hint="default"/>
        <w:lang w:val="en-gb" w:eastAsia="en-gb" w:bidi="en-gb"/>
      </w:rPr>
    </w:lvl>
    <w:lvl w:ilvl="2">
      <w:start w:val="3"/>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69">
    <w:multiLevelType w:val="hybridMultilevel"/>
    <w:lvl w:ilvl="0">
      <w:start w:val="1"/>
      <w:numFmt w:val="decimal"/>
      <w:lvlText w:val="%1"/>
      <w:lvlJc w:val="left"/>
      <w:pPr>
        <w:ind w:left="959" w:hanging="852"/>
        <w:jc w:val="left"/>
      </w:pPr>
      <w:rPr>
        <w:rFonts w:hint="default"/>
        <w:lang w:val="en-gb" w:eastAsia="en-gb" w:bidi="en-gb"/>
      </w:rPr>
    </w:lvl>
    <w:lvl w:ilvl="1">
      <w:start w:val="2"/>
      <w:numFmt w:val="decimal"/>
      <w:lvlText w:val="%1.%2"/>
      <w:lvlJc w:val="left"/>
      <w:pPr>
        <w:ind w:left="959" w:hanging="852"/>
        <w:jc w:val="left"/>
      </w:pPr>
      <w:rPr>
        <w:rFonts w:hint="default"/>
        <w:lang w:val="en-gb" w:eastAsia="en-gb" w:bidi="en-gb"/>
      </w:rPr>
    </w:lvl>
    <w:lvl w:ilvl="2">
      <w:start w:val="3"/>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68">
    <w:multiLevelType w:val="hybridMultilevel"/>
    <w:lvl w:ilvl="0">
      <w:start w:val="2"/>
      <w:numFmt w:val="decimal"/>
      <w:lvlText w:val="%1"/>
      <w:lvlJc w:val="left"/>
      <w:pPr>
        <w:ind w:left="962" w:hanging="852"/>
        <w:jc w:val="left"/>
      </w:pPr>
      <w:rPr>
        <w:rFonts w:hint="default"/>
        <w:lang w:val="en-gb" w:eastAsia="en-gb" w:bidi="en-gb"/>
      </w:rPr>
    </w:lvl>
    <w:lvl w:ilvl="1">
      <w:start w:val="2"/>
      <w:numFmt w:val="decimal"/>
      <w:lvlText w:val="%1.%2"/>
      <w:lvlJc w:val="left"/>
      <w:pPr>
        <w:ind w:left="962" w:hanging="852"/>
        <w:jc w:val="left"/>
      </w:pPr>
      <w:rPr>
        <w:rFonts w:hint="default"/>
        <w:lang w:val="en-gb" w:eastAsia="en-gb" w:bidi="en-gb"/>
      </w:rPr>
    </w:lvl>
    <w:lvl w:ilvl="2">
      <w:start w:val="2"/>
      <w:numFmt w:val="decimal"/>
      <w:lvlText w:val="%1.%2.%3"/>
      <w:lvlJc w:val="left"/>
      <w:pPr>
        <w:ind w:left="962" w:hanging="852"/>
        <w:jc w:val="left"/>
      </w:pPr>
      <w:rPr>
        <w:rFonts w:hint="default"/>
        <w:lang w:val="en-gb" w:eastAsia="en-gb" w:bidi="en-gb"/>
      </w:rPr>
    </w:lvl>
    <w:lvl w:ilvl="3">
      <w:start w:val="1"/>
      <w:numFmt w:val="decimal"/>
      <w:lvlText w:val="%1.%2.%3.%4."/>
      <w:lvlJc w:val="left"/>
      <w:pPr>
        <w:ind w:left="962"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67">
    <w:multiLevelType w:val="hybridMultilevel"/>
    <w:lvl w:ilvl="0">
      <w:start w:val="1"/>
      <w:numFmt w:val="decimal"/>
      <w:lvlText w:val="%1"/>
      <w:lvlJc w:val="left"/>
      <w:pPr>
        <w:ind w:left="965" w:hanging="852"/>
        <w:jc w:val="left"/>
      </w:pPr>
      <w:rPr>
        <w:rFonts w:hint="default"/>
        <w:lang w:val="en-gb" w:eastAsia="en-gb" w:bidi="en-gb"/>
      </w:rPr>
    </w:lvl>
    <w:lvl w:ilvl="1">
      <w:start w:val="2"/>
      <w:numFmt w:val="decimal"/>
      <w:lvlText w:val="%1.%2"/>
      <w:lvlJc w:val="left"/>
      <w:pPr>
        <w:ind w:left="965" w:hanging="852"/>
        <w:jc w:val="left"/>
      </w:pPr>
      <w:rPr>
        <w:rFonts w:hint="default"/>
        <w:lang w:val="en-gb" w:eastAsia="en-gb" w:bidi="en-gb"/>
      </w:rPr>
    </w:lvl>
    <w:lvl w:ilvl="2">
      <w:start w:val="2"/>
      <w:numFmt w:val="decimal"/>
      <w:lvlText w:val="%1.%2.%3"/>
      <w:lvlJc w:val="left"/>
      <w:pPr>
        <w:ind w:left="965" w:hanging="852"/>
        <w:jc w:val="left"/>
      </w:pPr>
      <w:rPr>
        <w:rFonts w:hint="default"/>
        <w:lang w:val="en-gb" w:eastAsia="en-gb" w:bidi="en-gb"/>
      </w:rPr>
    </w:lvl>
    <w:lvl w:ilvl="3">
      <w:start w:val="1"/>
      <w:numFmt w:val="decimal"/>
      <w:lvlText w:val="%1.%2.%3.%4."/>
      <w:lvlJc w:val="left"/>
      <w:pPr>
        <w:ind w:left="965"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66">
    <w:multiLevelType w:val="hybridMultilevel"/>
    <w:lvl w:ilvl="0">
      <w:start w:val="2"/>
      <w:numFmt w:val="decimal"/>
      <w:lvlText w:val="%1"/>
      <w:lvlJc w:val="left"/>
      <w:pPr>
        <w:ind w:left="957" w:hanging="852"/>
        <w:jc w:val="left"/>
      </w:pPr>
      <w:rPr>
        <w:rFonts w:hint="default"/>
        <w:lang w:val="en-gb" w:eastAsia="en-gb" w:bidi="en-gb"/>
      </w:rPr>
    </w:lvl>
    <w:lvl w:ilvl="1">
      <w:start w:val="2"/>
      <w:numFmt w:val="decimal"/>
      <w:lvlText w:val="%1.%2"/>
      <w:lvlJc w:val="left"/>
      <w:pPr>
        <w:ind w:left="957" w:hanging="852"/>
        <w:jc w:val="left"/>
      </w:pPr>
      <w:rPr>
        <w:rFonts w:hint="default"/>
        <w:lang w:val="en-gb" w:eastAsia="en-gb" w:bidi="en-gb"/>
      </w:rPr>
    </w:lvl>
    <w:lvl w:ilvl="2">
      <w:start w:val="1"/>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17" w:hanging="852"/>
      </w:pPr>
      <w:rPr>
        <w:rFonts w:hint="default"/>
        <w:lang w:val="en-gb" w:eastAsia="en-gb" w:bidi="en-gb"/>
      </w:rPr>
    </w:lvl>
    <w:lvl w:ilvl="5">
      <w:start w:val="0"/>
      <w:numFmt w:val="bullet"/>
      <w:lvlText w:val="•"/>
      <w:lvlJc w:val="left"/>
      <w:pPr>
        <w:ind w:left="3781" w:hanging="852"/>
      </w:pPr>
      <w:rPr>
        <w:rFonts w:hint="default"/>
        <w:lang w:val="en-gb" w:eastAsia="en-gb" w:bidi="en-gb"/>
      </w:rPr>
    </w:lvl>
    <w:lvl w:ilvl="6">
      <w:start w:val="0"/>
      <w:numFmt w:val="bullet"/>
      <w:lvlText w:val="•"/>
      <w:lvlJc w:val="left"/>
      <w:pPr>
        <w:ind w:left="4345" w:hanging="852"/>
      </w:pPr>
      <w:rPr>
        <w:rFonts w:hint="default"/>
        <w:lang w:val="en-gb" w:eastAsia="en-gb" w:bidi="en-gb"/>
      </w:rPr>
    </w:lvl>
    <w:lvl w:ilvl="7">
      <w:start w:val="0"/>
      <w:numFmt w:val="bullet"/>
      <w:lvlText w:val="•"/>
      <w:lvlJc w:val="left"/>
      <w:pPr>
        <w:ind w:left="4910" w:hanging="852"/>
      </w:pPr>
      <w:rPr>
        <w:rFonts w:hint="default"/>
        <w:lang w:val="en-gb" w:eastAsia="en-gb" w:bidi="en-gb"/>
      </w:rPr>
    </w:lvl>
    <w:lvl w:ilvl="8">
      <w:start w:val="0"/>
      <w:numFmt w:val="bullet"/>
      <w:lvlText w:val="•"/>
      <w:lvlJc w:val="left"/>
      <w:pPr>
        <w:ind w:left="5474" w:hanging="852"/>
      </w:pPr>
      <w:rPr>
        <w:rFonts w:hint="default"/>
        <w:lang w:val="en-gb" w:eastAsia="en-gb" w:bidi="en-gb"/>
      </w:rPr>
    </w:lvl>
  </w:abstractNum>
  <w:abstractNum w:abstractNumId="65">
    <w:multiLevelType w:val="hybridMultilevel"/>
    <w:lvl w:ilvl="0">
      <w:start w:val="1"/>
      <w:numFmt w:val="decimal"/>
      <w:lvlText w:val="%1"/>
      <w:lvlJc w:val="left"/>
      <w:pPr>
        <w:ind w:left="960" w:hanging="852"/>
        <w:jc w:val="left"/>
      </w:pPr>
      <w:rPr>
        <w:rFonts w:hint="default"/>
        <w:lang w:val="en-gb" w:eastAsia="en-gb" w:bidi="en-gb"/>
      </w:rPr>
    </w:lvl>
    <w:lvl w:ilvl="1">
      <w:start w:val="2"/>
      <w:numFmt w:val="decimal"/>
      <w:lvlText w:val="%1.%2"/>
      <w:lvlJc w:val="left"/>
      <w:pPr>
        <w:ind w:left="960" w:hanging="852"/>
        <w:jc w:val="left"/>
      </w:pPr>
      <w:rPr>
        <w:rFonts w:hint="default"/>
        <w:lang w:val="en-gb" w:eastAsia="en-gb" w:bidi="en-gb"/>
      </w:rPr>
    </w:lvl>
    <w:lvl w:ilvl="2">
      <w:start w:val="1"/>
      <w:numFmt w:val="decimal"/>
      <w:lvlText w:val="%1.%2.%3"/>
      <w:lvlJc w:val="left"/>
      <w:pPr>
        <w:ind w:left="960" w:hanging="852"/>
        <w:jc w:val="left"/>
      </w:pPr>
      <w:rPr>
        <w:rFonts w:hint="default"/>
        <w:lang w:val="en-gb" w:eastAsia="en-gb" w:bidi="en-gb"/>
      </w:rPr>
    </w:lvl>
    <w:lvl w:ilvl="3">
      <w:start w:val="1"/>
      <w:numFmt w:val="decimal"/>
      <w:lvlText w:val="%1.%2.%3.%4."/>
      <w:lvlJc w:val="left"/>
      <w:pPr>
        <w:ind w:left="960"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18" w:hanging="852"/>
      </w:pPr>
      <w:rPr>
        <w:rFonts w:hint="default"/>
        <w:lang w:val="en-gb" w:eastAsia="en-gb" w:bidi="en-gb"/>
      </w:rPr>
    </w:lvl>
    <w:lvl w:ilvl="5">
      <w:start w:val="0"/>
      <w:numFmt w:val="bullet"/>
      <w:lvlText w:val="•"/>
      <w:lvlJc w:val="left"/>
      <w:pPr>
        <w:ind w:left="3782" w:hanging="852"/>
      </w:pPr>
      <w:rPr>
        <w:rFonts w:hint="default"/>
        <w:lang w:val="en-gb" w:eastAsia="en-gb" w:bidi="en-gb"/>
      </w:rPr>
    </w:lvl>
    <w:lvl w:ilvl="6">
      <w:start w:val="0"/>
      <w:numFmt w:val="bullet"/>
      <w:lvlText w:val="•"/>
      <w:lvlJc w:val="left"/>
      <w:pPr>
        <w:ind w:left="4347" w:hanging="852"/>
      </w:pPr>
      <w:rPr>
        <w:rFonts w:hint="default"/>
        <w:lang w:val="en-gb" w:eastAsia="en-gb" w:bidi="en-gb"/>
      </w:rPr>
    </w:lvl>
    <w:lvl w:ilvl="7">
      <w:start w:val="0"/>
      <w:numFmt w:val="bullet"/>
      <w:lvlText w:val="•"/>
      <w:lvlJc w:val="left"/>
      <w:pPr>
        <w:ind w:left="4911" w:hanging="852"/>
      </w:pPr>
      <w:rPr>
        <w:rFonts w:hint="default"/>
        <w:lang w:val="en-gb" w:eastAsia="en-gb" w:bidi="en-gb"/>
      </w:rPr>
    </w:lvl>
    <w:lvl w:ilvl="8">
      <w:start w:val="0"/>
      <w:numFmt w:val="bullet"/>
      <w:lvlText w:val="•"/>
      <w:lvlJc w:val="left"/>
      <w:pPr>
        <w:ind w:left="5476" w:hanging="852"/>
      </w:pPr>
      <w:rPr>
        <w:rFonts w:hint="default"/>
        <w:lang w:val="en-gb" w:eastAsia="en-gb" w:bidi="en-gb"/>
      </w:rPr>
    </w:lvl>
  </w:abstractNum>
  <w:abstractNum w:abstractNumId="64">
    <w:multiLevelType w:val="hybridMultilevel"/>
    <w:lvl w:ilvl="0">
      <w:start w:val="2"/>
      <w:numFmt w:val="decimal"/>
      <w:lvlText w:val="%1"/>
      <w:lvlJc w:val="left"/>
      <w:pPr>
        <w:ind w:left="957" w:hanging="852"/>
        <w:jc w:val="left"/>
      </w:pPr>
      <w:rPr>
        <w:rFonts w:hint="default"/>
        <w:lang w:val="en-gb" w:eastAsia="en-gb" w:bidi="en-gb"/>
      </w:rPr>
    </w:lvl>
    <w:lvl w:ilvl="1">
      <w:start w:val="1"/>
      <w:numFmt w:val="decimal"/>
      <w:lvlText w:val="%1.%2"/>
      <w:lvlJc w:val="left"/>
      <w:pPr>
        <w:ind w:left="957" w:hanging="852"/>
        <w:jc w:val="left"/>
      </w:pPr>
      <w:rPr>
        <w:rFonts w:hint="default"/>
        <w:lang w:val="en-gb" w:eastAsia="en-gb" w:bidi="en-gb"/>
      </w:rPr>
    </w:lvl>
    <w:lvl w:ilvl="2">
      <w:start w:val="5"/>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63">
    <w:multiLevelType w:val="hybridMultilevel"/>
    <w:lvl w:ilvl="0">
      <w:start w:val="2"/>
      <w:numFmt w:val="decimal"/>
      <w:lvlText w:val="%1"/>
      <w:lvlJc w:val="left"/>
      <w:pPr>
        <w:ind w:left="957" w:hanging="852"/>
        <w:jc w:val="left"/>
      </w:pPr>
      <w:rPr>
        <w:rFonts w:hint="default"/>
        <w:lang w:val="en-gb" w:eastAsia="en-gb" w:bidi="en-gb"/>
      </w:rPr>
    </w:lvl>
    <w:lvl w:ilvl="1">
      <w:start w:val="1"/>
      <w:numFmt w:val="decimal"/>
      <w:lvlText w:val="%1.%2"/>
      <w:lvlJc w:val="left"/>
      <w:pPr>
        <w:ind w:left="957" w:hanging="852"/>
        <w:jc w:val="left"/>
      </w:pPr>
      <w:rPr>
        <w:rFonts w:hint="default"/>
        <w:lang w:val="en-gb" w:eastAsia="en-gb" w:bidi="en-gb"/>
      </w:rPr>
    </w:lvl>
    <w:lvl w:ilvl="2">
      <w:start w:val="4"/>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62">
    <w:multiLevelType w:val="hybridMultilevel"/>
    <w:lvl w:ilvl="0">
      <w:start w:val="1"/>
      <w:numFmt w:val="decimal"/>
      <w:lvlText w:val="%1"/>
      <w:lvlJc w:val="left"/>
      <w:pPr>
        <w:ind w:left="959" w:hanging="852"/>
        <w:jc w:val="left"/>
      </w:pPr>
      <w:rPr>
        <w:rFonts w:hint="default"/>
        <w:lang w:val="en-gb" w:eastAsia="en-gb" w:bidi="en-gb"/>
      </w:rPr>
    </w:lvl>
    <w:lvl w:ilvl="1">
      <w:start w:val="1"/>
      <w:numFmt w:val="decimal"/>
      <w:lvlText w:val="%1.%2"/>
      <w:lvlJc w:val="left"/>
      <w:pPr>
        <w:ind w:left="959" w:hanging="852"/>
        <w:jc w:val="left"/>
      </w:pPr>
      <w:rPr>
        <w:rFonts w:hint="default"/>
        <w:lang w:val="en-gb" w:eastAsia="en-gb" w:bidi="en-gb"/>
      </w:rPr>
    </w:lvl>
    <w:lvl w:ilvl="2">
      <w:start w:val="4"/>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61">
    <w:multiLevelType w:val="hybridMultilevel"/>
    <w:lvl w:ilvl="0">
      <w:start w:val="2"/>
      <w:numFmt w:val="decimal"/>
      <w:lvlText w:val="%1"/>
      <w:lvlJc w:val="left"/>
      <w:pPr>
        <w:ind w:left="957" w:hanging="852"/>
        <w:jc w:val="left"/>
      </w:pPr>
      <w:rPr>
        <w:rFonts w:hint="default"/>
        <w:lang w:val="en-gb" w:eastAsia="en-gb" w:bidi="en-gb"/>
      </w:rPr>
    </w:lvl>
    <w:lvl w:ilvl="1">
      <w:start w:val="1"/>
      <w:numFmt w:val="decimal"/>
      <w:lvlText w:val="%1.%2"/>
      <w:lvlJc w:val="left"/>
      <w:pPr>
        <w:ind w:left="957" w:hanging="852"/>
        <w:jc w:val="left"/>
      </w:pPr>
      <w:rPr>
        <w:rFonts w:hint="default"/>
        <w:lang w:val="en-gb" w:eastAsia="en-gb" w:bidi="en-gb"/>
      </w:rPr>
    </w:lvl>
    <w:lvl w:ilvl="2">
      <w:start w:val="3"/>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60">
    <w:multiLevelType w:val="hybridMultilevel"/>
    <w:lvl w:ilvl="0">
      <w:start w:val="1"/>
      <w:numFmt w:val="decimal"/>
      <w:lvlText w:val="%1"/>
      <w:lvlJc w:val="left"/>
      <w:pPr>
        <w:ind w:left="959" w:hanging="852"/>
        <w:jc w:val="left"/>
      </w:pPr>
      <w:rPr>
        <w:rFonts w:hint="default"/>
        <w:lang w:val="en-gb" w:eastAsia="en-gb" w:bidi="en-gb"/>
      </w:rPr>
    </w:lvl>
    <w:lvl w:ilvl="1">
      <w:start w:val="1"/>
      <w:numFmt w:val="decimal"/>
      <w:lvlText w:val="%1.%2"/>
      <w:lvlJc w:val="left"/>
      <w:pPr>
        <w:ind w:left="959" w:hanging="852"/>
        <w:jc w:val="left"/>
      </w:pPr>
      <w:rPr>
        <w:rFonts w:hint="default"/>
        <w:lang w:val="en-gb" w:eastAsia="en-gb" w:bidi="en-gb"/>
      </w:rPr>
    </w:lvl>
    <w:lvl w:ilvl="2">
      <w:start w:val="3"/>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59">
    <w:multiLevelType w:val="hybridMultilevel"/>
    <w:lvl w:ilvl="0">
      <w:start w:val="1"/>
      <w:numFmt w:val="decimal"/>
      <w:lvlText w:val="%1"/>
      <w:lvlJc w:val="left"/>
      <w:pPr>
        <w:ind w:left="959" w:hanging="852"/>
        <w:jc w:val="left"/>
      </w:pPr>
      <w:rPr>
        <w:rFonts w:hint="default"/>
        <w:lang w:val="en-gb" w:eastAsia="en-gb" w:bidi="en-gb"/>
      </w:rPr>
    </w:lvl>
    <w:lvl w:ilvl="1">
      <w:start w:val="1"/>
      <w:numFmt w:val="decimal"/>
      <w:lvlText w:val="%1.%2"/>
      <w:lvlJc w:val="left"/>
      <w:pPr>
        <w:ind w:left="959" w:hanging="852"/>
        <w:jc w:val="left"/>
      </w:pPr>
      <w:rPr>
        <w:rFonts w:hint="default"/>
        <w:lang w:val="en-gb" w:eastAsia="en-gb" w:bidi="en-gb"/>
      </w:rPr>
    </w:lvl>
    <w:lvl w:ilvl="2">
      <w:start w:val="3"/>
      <w:numFmt w:val="decimal"/>
      <w:lvlText w:val="%1.%2.%3"/>
      <w:lvlJc w:val="left"/>
      <w:pPr>
        <w:ind w:left="959" w:hanging="852"/>
        <w:jc w:val="left"/>
      </w:pPr>
      <w:rPr>
        <w:rFonts w:hint="default"/>
        <w:lang w:val="en-gb" w:eastAsia="en-gb" w:bidi="en-gb"/>
      </w:rPr>
    </w:lvl>
    <w:lvl w:ilvl="3">
      <w:start w:val="1"/>
      <w:numFmt w:val="decimal"/>
      <w:lvlText w:val="%1.%2.%3.%4."/>
      <w:lvlJc w:val="left"/>
      <w:pPr>
        <w:ind w:left="959"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58">
    <w:multiLevelType w:val="hybridMultilevel"/>
    <w:lvl w:ilvl="0">
      <w:start w:val="2"/>
      <w:numFmt w:val="decimal"/>
      <w:lvlText w:val="%1"/>
      <w:lvlJc w:val="left"/>
      <w:pPr>
        <w:ind w:left="962" w:hanging="852"/>
        <w:jc w:val="left"/>
      </w:pPr>
      <w:rPr>
        <w:rFonts w:hint="default"/>
        <w:lang w:val="en-gb" w:eastAsia="en-gb" w:bidi="en-gb"/>
      </w:rPr>
    </w:lvl>
    <w:lvl w:ilvl="1">
      <w:start w:val="1"/>
      <w:numFmt w:val="decimal"/>
      <w:lvlText w:val="%1.%2"/>
      <w:lvlJc w:val="left"/>
      <w:pPr>
        <w:ind w:left="962" w:hanging="852"/>
        <w:jc w:val="left"/>
      </w:pPr>
      <w:rPr>
        <w:rFonts w:hint="default"/>
        <w:lang w:val="en-gb" w:eastAsia="en-gb" w:bidi="en-gb"/>
      </w:rPr>
    </w:lvl>
    <w:lvl w:ilvl="2">
      <w:start w:val="2"/>
      <w:numFmt w:val="decimal"/>
      <w:lvlText w:val="%1.%2.%3"/>
      <w:lvlJc w:val="left"/>
      <w:pPr>
        <w:ind w:left="962" w:hanging="852"/>
        <w:jc w:val="left"/>
      </w:pPr>
      <w:rPr>
        <w:rFonts w:hint="default"/>
        <w:lang w:val="en-gb" w:eastAsia="en-gb" w:bidi="en-gb"/>
      </w:rPr>
    </w:lvl>
    <w:lvl w:ilvl="3">
      <w:start w:val="1"/>
      <w:numFmt w:val="decimal"/>
      <w:lvlText w:val="%1.%2.%3.%4."/>
      <w:lvlJc w:val="left"/>
      <w:pPr>
        <w:ind w:left="962"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1" w:hanging="852"/>
      </w:pPr>
      <w:rPr>
        <w:rFonts w:hint="default"/>
        <w:lang w:val="en-gb" w:eastAsia="en-gb" w:bidi="en-gb"/>
      </w:rPr>
    </w:lvl>
    <w:lvl w:ilvl="5">
      <w:start w:val="0"/>
      <w:numFmt w:val="bullet"/>
      <w:lvlText w:val="•"/>
      <w:lvlJc w:val="left"/>
      <w:pPr>
        <w:ind w:left="3786" w:hanging="852"/>
      </w:pPr>
      <w:rPr>
        <w:rFonts w:hint="default"/>
        <w:lang w:val="en-gb" w:eastAsia="en-gb" w:bidi="en-gb"/>
      </w:rPr>
    </w:lvl>
    <w:lvl w:ilvl="6">
      <w:start w:val="0"/>
      <w:numFmt w:val="bullet"/>
      <w:lvlText w:val="•"/>
      <w:lvlJc w:val="left"/>
      <w:pPr>
        <w:ind w:left="4351" w:hanging="852"/>
      </w:pPr>
      <w:rPr>
        <w:rFonts w:hint="default"/>
        <w:lang w:val="en-gb" w:eastAsia="en-gb" w:bidi="en-gb"/>
      </w:rPr>
    </w:lvl>
    <w:lvl w:ilvl="7">
      <w:start w:val="0"/>
      <w:numFmt w:val="bullet"/>
      <w:lvlText w:val="•"/>
      <w:lvlJc w:val="left"/>
      <w:pPr>
        <w:ind w:left="4917" w:hanging="852"/>
      </w:pPr>
      <w:rPr>
        <w:rFonts w:hint="default"/>
        <w:lang w:val="en-gb" w:eastAsia="en-gb" w:bidi="en-gb"/>
      </w:rPr>
    </w:lvl>
    <w:lvl w:ilvl="8">
      <w:start w:val="0"/>
      <w:numFmt w:val="bullet"/>
      <w:lvlText w:val="•"/>
      <w:lvlJc w:val="left"/>
      <w:pPr>
        <w:ind w:left="5482" w:hanging="852"/>
      </w:pPr>
      <w:rPr>
        <w:rFonts w:hint="default"/>
        <w:lang w:val="en-gb" w:eastAsia="en-gb" w:bidi="en-gb"/>
      </w:rPr>
    </w:lvl>
  </w:abstractNum>
  <w:abstractNum w:abstractNumId="57">
    <w:multiLevelType w:val="hybridMultilevel"/>
    <w:lvl w:ilvl="0">
      <w:start w:val="1"/>
      <w:numFmt w:val="decimal"/>
      <w:lvlText w:val="%1"/>
      <w:lvlJc w:val="left"/>
      <w:pPr>
        <w:ind w:left="965" w:hanging="852"/>
        <w:jc w:val="left"/>
      </w:pPr>
      <w:rPr>
        <w:rFonts w:hint="default"/>
        <w:lang w:val="en-gb" w:eastAsia="en-gb" w:bidi="en-gb"/>
      </w:rPr>
    </w:lvl>
    <w:lvl w:ilvl="1">
      <w:start w:val="1"/>
      <w:numFmt w:val="decimal"/>
      <w:lvlText w:val="%1.%2"/>
      <w:lvlJc w:val="left"/>
      <w:pPr>
        <w:ind w:left="965" w:hanging="852"/>
        <w:jc w:val="left"/>
      </w:pPr>
      <w:rPr>
        <w:rFonts w:hint="default"/>
        <w:lang w:val="en-gb" w:eastAsia="en-gb" w:bidi="en-gb"/>
      </w:rPr>
    </w:lvl>
    <w:lvl w:ilvl="2">
      <w:start w:val="2"/>
      <w:numFmt w:val="decimal"/>
      <w:lvlText w:val="%1.%2.%3"/>
      <w:lvlJc w:val="left"/>
      <w:pPr>
        <w:ind w:left="965" w:hanging="852"/>
        <w:jc w:val="left"/>
      </w:pPr>
      <w:rPr>
        <w:rFonts w:hint="default"/>
        <w:lang w:val="en-gb" w:eastAsia="en-gb" w:bidi="en-gb"/>
      </w:rPr>
    </w:lvl>
    <w:lvl w:ilvl="3">
      <w:start w:val="1"/>
      <w:numFmt w:val="decimal"/>
      <w:lvlText w:val="%1.%2.%3.%4."/>
      <w:lvlJc w:val="left"/>
      <w:pPr>
        <w:ind w:left="965"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22" w:hanging="852"/>
      </w:pPr>
      <w:rPr>
        <w:rFonts w:hint="default"/>
        <w:lang w:val="en-gb" w:eastAsia="en-gb" w:bidi="en-gb"/>
      </w:rPr>
    </w:lvl>
    <w:lvl w:ilvl="5">
      <w:start w:val="0"/>
      <w:numFmt w:val="bullet"/>
      <w:lvlText w:val="•"/>
      <w:lvlJc w:val="left"/>
      <w:pPr>
        <w:ind w:left="3787" w:hanging="852"/>
      </w:pPr>
      <w:rPr>
        <w:rFonts w:hint="default"/>
        <w:lang w:val="en-gb" w:eastAsia="en-gb" w:bidi="en-gb"/>
      </w:rPr>
    </w:lvl>
    <w:lvl w:ilvl="6">
      <w:start w:val="0"/>
      <w:numFmt w:val="bullet"/>
      <w:lvlText w:val="•"/>
      <w:lvlJc w:val="left"/>
      <w:pPr>
        <w:ind w:left="4353" w:hanging="852"/>
      </w:pPr>
      <w:rPr>
        <w:rFonts w:hint="default"/>
        <w:lang w:val="en-gb" w:eastAsia="en-gb" w:bidi="en-gb"/>
      </w:rPr>
    </w:lvl>
    <w:lvl w:ilvl="7">
      <w:start w:val="0"/>
      <w:numFmt w:val="bullet"/>
      <w:lvlText w:val="•"/>
      <w:lvlJc w:val="left"/>
      <w:pPr>
        <w:ind w:left="4918" w:hanging="852"/>
      </w:pPr>
      <w:rPr>
        <w:rFonts w:hint="default"/>
        <w:lang w:val="en-gb" w:eastAsia="en-gb" w:bidi="en-gb"/>
      </w:rPr>
    </w:lvl>
    <w:lvl w:ilvl="8">
      <w:start w:val="0"/>
      <w:numFmt w:val="bullet"/>
      <w:lvlText w:val="•"/>
      <w:lvlJc w:val="left"/>
      <w:pPr>
        <w:ind w:left="5484" w:hanging="852"/>
      </w:pPr>
      <w:rPr>
        <w:rFonts w:hint="default"/>
        <w:lang w:val="en-gb" w:eastAsia="en-gb" w:bidi="en-gb"/>
      </w:rPr>
    </w:lvl>
  </w:abstractNum>
  <w:abstractNum w:abstractNumId="56">
    <w:multiLevelType w:val="hybridMultilevel"/>
    <w:lvl w:ilvl="0">
      <w:start w:val="2"/>
      <w:numFmt w:val="decimal"/>
      <w:lvlText w:val="%1"/>
      <w:lvlJc w:val="left"/>
      <w:pPr>
        <w:ind w:left="957" w:hanging="852"/>
        <w:jc w:val="left"/>
      </w:pPr>
      <w:rPr>
        <w:rFonts w:hint="default"/>
        <w:lang w:val="en-gb" w:eastAsia="en-gb" w:bidi="en-gb"/>
      </w:rPr>
    </w:lvl>
    <w:lvl w:ilvl="1">
      <w:start w:val="1"/>
      <w:numFmt w:val="decimal"/>
      <w:lvlText w:val="%1.%2"/>
      <w:lvlJc w:val="left"/>
      <w:pPr>
        <w:ind w:left="957" w:hanging="852"/>
        <w:jc w:val="left"/>
      </w:pPr>
      <w:rPr>
        <w:rFonts w:hint="default"/>
        <w:lang w:val="en-gb" w:eastAsia="en-gb" w:bidi="en-gb"/>
      </w:rPr>
    </w:lvl>
    <w:lvl w:ilvl="2">
      <w:start w:val="1"/>
      <w:numFmt w:val="decimal"/>
      <w:lvlText w:val="%1.%2.%3"/>
      <w:lvlJc w:val="left"/>
      <w:pPr>
        <w:ind w:left="957" w:hanging="852"/>
        <w:jc w:val="left"/>
      </w:pPr>
      <w:rPr>
        <w:rFonts w:hint="default"/>
        <w:lang w:val="en-gb" w:eastAsia="en-gb" w:bidi="en-gb"/>
      </w:rPr>
    </w:lvl>
    <w:lvl w:ilvl="3">
      <w:start w:val="1"/>
      <w:numFmt w:val="decimal"/>
      <w:lvlText w:val="%1.%2.%3.%4."/>
      <w:lvlJc w:val="left"/>
      <w:pPr>
        <w:ind w:left="957"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17" w:hanging="852"/>
      </w:pPr>
      <w:rPr>
        <w:rFonts w:hint="default"/>
        <w:lang w:val="en-gb" w:eastAsia="en-gb" w:bidi="en-gb"/>
      </w:rPr>
    </w:lvl>
    <w:lvl w:ilvl="5">
      <w:start w:val="0"/>
      <w:numFmt w:val="bullet"/>
      <w:lvlText w:val="•"/>
      <w:lvlJc w:val="left"/>
      <w:pPr>
        <w:ind w:left="3781" w:hanging="852"/>
      </w:pPr>
      <w:rPr>
        <w:rFonts w:hint="default"/>
        <w:lang w:val="en-gb" w:eastAsia="en-gb" w:bidi="en-gb"/>
      </w:rPr>
    </w:lvl>
    <w:lvl w:ilvl="6">
      <w:start w:val="0"/>
      <w:numFmt w:val="bullet"/>
      <w:lvlText w:val="•"/>
      <w:lvlJc w:val="left"/>
      <w:pPr>
        <w:ind w:left="4345" w:hanging="852"/>
      </w:pPr>
      <w:rPr>
        <w:rFonts w:hint="default"/>
        <w:lang w:val="en-gb" w:eastAsia="en-gb" w:bidi="en-gb"/>
      </w:rPr>
    </w:lvl>
    <w:lvl w:ilvl="7">
      <w:start w:val="0"/>
      <w:numFmt w:val="bullet"/>
      <w:lvlText w:val="•"/>
      <w:lvlJc w:val="left"/>
      <w:pPr>
        <w:ind w:left="4910" w:hanging="852"/>
      </w:pPr>
      <w:rPr>
        <w:rFonts w:hint="default"/>
        <w:lang w:val="en-gb" w:eastAsia="en-gb" w:bidi="en-gb"/>
      </w:rPr>
    </w:lvl>
    <w:lvl w:ilvl="8">
      <w:start w:val="0"/>
      <w:numFmt w:val="bullet"/>
      <w:lvlText w:val="•"/>
      <w:lvlJc w:val="left"/>
      <w:pPr>
        <w:ind w:left="5474" w:hanging="852"/>
      </w:pPr>
      <w:rPr>
        <w:rFonts w:hint="default"/>
        <w:lang w:val="en-gb" w:eastAsia="en-gb" w:bidi="en-gb"/>
      </w:rPr>
    </w:lvl>
  </w:abstractNum>
  <w:abstractNum w:abstractNumId="55">
    <w:multiLevelType w:val="hybridMultilevel"/>
    <w:lvl w:ilvl="0">
      <w:start w:val="1"/>
      <w:numFmt w:val="decimal"/>
      <w:lvlText w:val="%1"/>
      <w:lvlJc w:val="left"/>
      <w:pPr>
        <w:ind w:left="960" w:hanging="852"/>
        <w:jc w:val="left"/>
      </w:pPr>
      <w:rPr>
        <w:rFonts w:hint="default"/>
        <w:lang w:val="en-gb" w:eastAsia="en-gb" w:bidi="en-gb"/>
      </w:rPr>
    </w:lvl>
    <w:lvl w:ilvl="1">
      <w:start w:val="1"/>
      <w:numFmt w:val="decimal"/>
      <w:lvlText w:val="%1.%2"/>
      <w:lvlJc w:val="left"/>
      <w:pPr>
        <w:ind w:left="960" w:hanging="852"/>
        <w:jc w:val="left"/>
      </w:pPr>
      <w:rPr>
        <w:rFonts w:hint="default"/>
        <w:lang w:val="en-gb" w:eastAsia="en-gb" w:bidi="en-gb"/>
      </w:rPr>
    </w:lvl>
    <w:lvl w:ilvl="2">
      <w:start w:val="1"/>
      <w:numFmt w:val="decimal"/>
      <w:lvlText w:val="%1.%2.%3"/>
      <w:lvlJc w:val="left"/>
      <w:pPr>
        <w:ind w:left="960" w:hanging="852"/>
        <w:jc w:val="left"/>
      </w:pPr>
      <w:rPr>
        <w:rFonts w:hint="default"/>
        <w:lang w:val="en-gb" w:eastAsia="en-gb" w:bidi="en-gb"/>
      </w:rPr>
    </w:lvl>
    <w:lvl w:ilvl="3">
      <w:start w:val="1"/>
      <w:numFmt w:val="decimal"/>
      <w:lvlText w:val="%1.%2.%3.%4."/>
      <w:lvlJc w:val="left"/>
      <w:pPr>
        <w:ind w:left="960" w:hanging="852"/>
        <w:jc w:val="left"/>
      </w:pPr>
      <w:rPr>
        <w:rFonts w:hint="default" w:ascii="Calibri" w:hAnsi="Calibri" w:eastAsia="Calibri" w:cs="Calibri"/>
        <w:spacing w:val="-3"/>
        <w:w w:val="100"/>
        <w:sz w:val="22"/>
        <w:szCs w:val="22"/>
        <w:lang w:val="en-gb" w:eastAsia="en-gb" w:bidi="en-gb"/>
      </w:rPr>
    </w:lvl>
    <w:lvl w:ilvl="4">
      <w:start w:val="0"/>
      <w:numFmt w:val="bullet"/>
      <w:lvlText w:val="•"/>
      <w:lvlJc w:val="left"/>
      <w:pPr>
        <w:ind w:left="3218" w:hanging="852"/>
      </w:pPr>
      <w:rPr>
        <w:rFonts w:hint="default"/>
        <w:lang w:val="en-gb" w:eastAsia="en-gb" w:bidi="en-gb"/>
      </w:rPr>
    </w:lvl>
    <w:lvl w:ilvl="5">
      <w:start w:val="0"/>
      <w:numFmt w:val="bullet"/>
      <w:lvlText w:val="•"/>
      <w:lvlJc w:val="left"/>
      <w:pPr>
        <w:ind w:left="3782" w:hanging="852"/>
      </w:pPr>
      <w:rPr>
        <w:rFonts w:hint="default"/>
        <w:lang w:val="en-gb" w:eastAsia="en-gb" w:bidi="en-gb"/>
      </w:rPr>
    </w:lvl>
    <w:lvl w:ilvl="6">
      <w:start w:val="0"/>
      <w:numFmt w:val="bullet"/>
      <w:lvlText w:val="•"/>
      <w:lvlJc w:val="left"/>
      <w:pPr>
        <w:ind w:left="4347" w:hanging="852"/>
      </w:pPr>
      <w:rPr>
        <w:rFonts w:hint="default"/>
        <w:lang w:val="en-gb" w:eastAsia="en-gb" w:bidi="en-gb"/>
      </w:rPr>
    </w:lvl>
    <w:lvl w:ilvl="7">
      <w:start w:val="0"/>
      <w:numFmt w:val="bullet"/>
      <w:lvlText w:val="•"/>
      <w:lvlJc w:val="left"/>
      <w:pPr>
        <w:ind w:left="4911" w:hanging="852"/>
      </w:pPr>
      <w:rPr>
        <w:rFonts w:hint="default"/>
        <w:lang w:val="en-gb" w:eastAsia="en-gb" w:bidi="en-gb"/>
      </w:rPr>
    </w:lvl>
    <w:lvl w:ilvl="8">
      <w:start w:val="0"/>
      <w:numFmt w:val="bullet"/>
      <w:lvlText w:val="•"/>
      <w:lvlJc w:val="left"/>
      <w:pPr>
        <w:ind w:left="5476" w:hanging="852"/>
      </w:pPr>
      <w:rPr>
        <w:rFonts w:hint="default"/>
        <w:lang w:val="en-gb" w:eastAsia="en-gb" w:bidi="en-gb"/>
      </w:rPr>
    </w:lvl>
  </w:abstractNum>
  <w:abstractNum w:abstractNumId="54">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53">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52">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51">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50">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9">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8">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7">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6">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5">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4">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3">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2">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1">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40">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39">
    <w:multiLevelType w:val="hybridMultilevel"/>
    <w:lvl w:ilvl="0">
      <w:start w:val="0"/>
      <w:numFmt w:val="bullet"/>
      <w:lvlText w:val=""/>
      <w:lvlJc w:val="left"/>
      <w:pPr>
        <w:ind w:left="467" w:hanging="360"/>
      </w:pPr>
      <w:rPr>
        <w:rFonts w:hint="default" w:ascii="Symbol" w:hAnsi="Symbol" w:eastAsia="Symbol" w:cs="Symbol"/>
        <w:w w:val="100"/>
        <w:position w:val="1"/>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38">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173" w:hanging="360"/>
      </w:pPr>
      <w:rPr>
        <w:rFonts w:hint="default"/>
        <w:lang w:val="en-gb" w:eastAsia="en-gb" w:bidi="en-gb"/>
      </w:rPr>
    </w:lvl>
    <w:lvl w:ilvl="2">
      <w:start w:val="0"/>
      <w:numFmt w:val="bullet"/>
      <w:lvlText w:val="•"/>
      <w:lvlJc w:val="left"/>
      <w:pPr>
        <w:ind w:left="1886" w:hanging="360"/>
      </w:pPr>
      <w:rPr>
        <w:rFonts w:hint="default"/>
        <w:lang w:val="en-gb" w:eastAsia="en-gb" w:bidi="en-gb"/>
      </w:rPr>
    </w:lvl>
    <w:lvl w:ilvl="3">
      <w:start w:val="0"/>
      <w:numFmt w:val="bullet"/>
      <w:lvlText w:val="•"/>
      <w:lvlJc w:val="left"/>
      <w:pPr>
        <w:ind w:left="2599" w:hanging="360"/>
      </w:pPr>
      <w:rPr>
        <w:rFonts w:hint="default"/>
        <w:lang w:val="en-gb" w:eastAsia="en-gb" w:bidi="en-gb"/>
      </w:rPr>
    </w:lvl>
    <w:lvl w:ilvl="4">
      <w:start w:val="0"/>
      <w:numFmt w:val="bullet"/>
      <w:lvlText w:val="•"/>
      <w:lvlJc w:val="left"/>
      <w:pPr>
        <w:ind w:left="3313"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39" w:hanging="360"/>
      </w:pPr>
      <w:rPr>
        <w:rFonts w:hint="default"/>
        <w:lang w:val="en-gb" w:eastAsia="en-gb" w:bidi="en-gb"/>
      </w:rPr>
    </w:lvl>
    <w:lvl w:ilvl="7">
      <w:start w:val="0"/>
      <w:numFmt w:val="bullet"/>
      <w:lvlText w:val="•"/>
      <w:lvlJc w:val="left"/>
      <w:pPr>
        <w:ind w:left="5453" w:hanging="360"/>
      </w:pPr>
      <w:rPr>
        <w:rFonts w:hint="default"/>
        <w:lang w:val="en-gb" w:eastAsia="en-gb" w:bidi="en-gb"/>
      </w:rPr>
    </w:lvl>
    <w:lvl w:ilvl="8">
      <w:start w:val="0"/>
      <w:numFmt w:val="bullet"/>
      <w:lvlText w:val="•"/>
      <w:lvlJc w:val="left"/>
      <w:pPr>
        <w:ind w:left="6166" w:hanging="360"/>
      </w:pPr>
      <w:rPr>
        <w:rFonts w:hint="default"/>
        <w:lang w:val="en-gb" w:eastAsia="en-gb" w:bidi="en-gb"/>
      </w:rPr>
    </w:lvl>
  </w:abstractNum>
  <w:abstractNum w:abstractNumId="37">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6">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5">
    <w:multiLevelType w:val="hybridMultilevel"/>
    <w:lvl w:ilvl="0">
      <w:start w:val="0"/>
      <w:numFmt w:val="bullet"/>
      <w:lvlText w:val=""/>
      <w:lvlJc w:val="left"/>
      <w:pPr>
        <w:ind w:left="467" w:hanging="360"/>
      </w:pPr>
      <w:rPr>
        <w:rFonts w:hint="default"/>
        <w:w w:val="100"/>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4">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3">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2">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1">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30">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29">
    <w:multiLevelType w:val="hybridMultilevel"/>
    <w:lvl w:ilvl="0">
      <w:start w:val="0"/>
      <w:numFmt w:val="bullet"/>
      <w:lvlText w:val=""/>
      <w:lvlJc w:val="left"/>
      <w:pPr>
        <w:ind w:left="467" w:hanging="360"/>
      </w:pPr>
      <w:rPr>
        <w:rFonts w:hint="default" w:ascii="Symbol" w:hAnsi="Symbol" w:eastAsia="Symbol" w:cs="Symbol"/>
        <w:w w:val="100"/>
        <w:sz w:val="24"/>
        <w:szCs w:val="24"/>
        <w:lang w:val="en-gb" w:eastAsia="en-gb" w:bidi="en-gb"/>
      </w:rPr>
    </w:lvl>
    <w:lvl w:ilvl="1">
      <w:start w:val="0"/>
      <w:numFmt w:val="bullet"/>
      <w:lvlText w:val="•"/>
      <w:lvlJc w:val="left"/>
      <w:pPr>
        <w:ind w:left="1201" w:hanging="360"/>
      </w:pPr>
      <w:rPr>
        <w:rFonts w:hint="default"/>
        <w:lang w:val="en-gb" w:eastAsia="en-gb" w:bidi="en-gb"/>
      </w:rPr>
    </w:lvl>
    <w:lvl w:ilvl="2">
      <w:start w:val="0"/>
      <w:numFmt w:val="bullet"/>
      <w:lvlText w:val="•"/>
      <w:lvlJc w:val="left"/>
      <w:pPr>
        <w:ind w:left="1942" w:hanging="360"/>
      </w:pPr>
      <w:rPr>
        <w:rFonts w:hint="default"/>
        <w:lang w:val="en-gb" w:eastAsia="en-gb" w:bidi="en-gb"/>
      </w:rPr>
    </w:lvl>
    <w:lvl w:ilvl="3">
      <w:start w:val="0"/>
      <w:numFmt w:val="bullet"/>
      <w:lvlText w:val="•"/>
      <w:lvlJc w:val="left"/>
      <w:pPr>
        <w:ind w:left="2683" w:hanging="360"/>
      </w:pPr>
      <w:rPr>
        <w:rFonts w:hint="default"/>
        <w:lang w:val="en-gb" w:eastAsia="en-gb" w:bidi="en-gb"/>
      </w:rPr>
    </w:lvl>
    <w:lvl w:ilvl="4">
      <w:start w:val="0"/>
      <w:numFmt w:val="bullet"/>
      <w:lvlText w:val="•"/>
      <w:lvlJc w:val="left"/>
      <w:pPr>
        <w:ind w:left="3424" w:hanging="360"/>
      </w:pPr>
      <w:rPr>
        <w:rFonts w:hint="default"/>
        <w:lang w:val="en-gb" w:eastAsia="en-gb" w:bidi="en-gb"/>
      </w:rPr>
    </w:lvl>
    <w:lvl w:ilvl="5">
      <w:start w:val="0"/>
      <w:numFmt w:val="bullet"/>
      <w:lvlText w:val="•"/>
      <w:lvlJc w:val="left"/>
      <w:pPr>
        <w:ind w:left="4166" w:hanging="360"/>
      </w:pPr>
      <w:rPr>
        <w:rFonts w:hint="default"/>
        <w:lang w:val="en-gb" w:eastAsia="en-gb" w:bidi="en-gb"/>
      </w:rPr>
    </w:lvl>
    <w:lvl w:ilvl="6">
      <w:start w:val="0"/>
      <w:numFmt w:val="bullet"/>
      <w:lvlText w:val="•"/>
      <w:lvlJc w:val="left"/>
      <w:pPr>
        <w:ind w:left="4907" w:hanging="360"/>
      </w:pPr>
      <w:rPr>
        <w:rFonts w:hint="default"/>
        <w:lang w:val="en-gb" w:eastAsia="en-gb" w:bidi="en-gb"/>
      </w:rPr>
    </w:lvl>
    <w:lvl w:ilvl="7">
      <w:start w:val="0"/>
      <w:numFmt w:val="bullet"/>
      <w:lvlText w:val="•"/>
      <w:lvlJc w:val="left"/>
      <w:pPr>
        <w:ind w:left="5648" w:hanging="360"/>
      </w:pPr>
      <w:rPr>
        <w:rFonts w:hint="default"/>
        <w:lang w:val="en-gb" w:eastAsia="en-gb" w:bidi="en-gb"/>
      </w:rPr>
    </w:lvl>
    <w:lvl w:ilvl="8">
      <w:start w:val="0"/>
      <w:numFmt w:val="bullet"/>
      <w:lvlText w:val="•"/>
      <w:lvlJc w:val="left"/>
      <w:pPr>
        <w:ind w:left="6389" w:hanging="360"/>
      </w:pPr>
      <w:rPr>
        <w:rFonts w:hint="default"/>
        <w:lang w:val="en-gb" w:eastAsia="en-gb" w:bidi="en-gb"/>
      </w:rPr>
    </w:lvl>
  </w:abstractNum>
  <w:abstractNum w:abstractNumId="28">
    <w:multiLevelType w:val="hybridMultilevel"/>
    <w:lvl w:ilvl="0">
      <w:start w:val="0"/>
      <w:numFmt w:val="bullet"/>
      <w:lvlText w:val=""/>
      <w:lvlJc w:val="left"/>
      <w:pPr>
        <w:ind w:left="466"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6"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3"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0" w:hanging="360"/>
      </w:pPr>
      <w:rPr>
        <w:rFonts w:hint="default"/>
        <w:lang w:val="en-gb" w:eastAsia="en-gb" w:bidi="en-gb"/>
      </w:rPr>
    </w:lvl>
    <w:lvl w:ilvl="7">
      <w:start w:val="0"/>
      <w:numFmt w:val="bullet"/>
      <w:lvlText w:val="•"/>
      <w:lvlJc w:val="left"/>
      <w:pPr>
        <w:ind w:left="5488" w:hanging="360"/>
      </w:pPr>
      <w:rPr>
        <w:rFonts w:hint="default"/>
        <w:lang w:val="en-gb" w:eastAsia="en-gb" w:bidi="en-gb"/>
      </w:rPr>
    </w:lvl>
    <w:lvl w:ilvl="8">
      <w:start w:val="0"/>
      <w:numFmt w:val="bullet"/>
      <w:lvlText w:val="•"/>
      <w:lvlJc w:val="left"/>
      <w:pPr>
        <w:ind w:left="6207" w:hanging="360"/>
      </w:pPr>
      <w:rPr>
        <w:rFonts w:hint="default"/>
        <w:lang w:val="en-gb" w:eastAsia="en-gb" w:bidi="en-gb"/>
      </w:rPr>
    </w:lvl>
  </w:abstractNum>
  <w:abstractNum w:abstractNumId="27">
    <w:multiLevelType w:val="hybridMultilevel"/>
    <w:lvl w:ilvl="0">
      <w:start w:val="0"/>
      <w:numFmt w:val="bullet"/>
      <w:lvlText w:val=""/>
      <w:lvlJc w:val="left"/>
      <w:pPr>
        <w:ind w:left="466"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6"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3"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0" w:hanging="360"/>
      </w:pPr>
      <w:rPr>
        <w:rFonts w:hint="default"/>
        <w:lang w:val="en-gb" w:eastAsia="en-gb" w:bidi="en-gb"/>
      </w:rPr>
    </w:lvl>
    <w:lvl w:ilvl="7">
      <w:start w:val="0"/>
      <w:numFmt w:val="bullet"/>
      <w:lvlText w:val="•"/>
      <w:lvlJc w:val="left"/>
      <w:pPr>
        <w:ind w:left="5488" w:hanging="360"/>
      </w:pPr>
      <w:rPr>
        <w:rFonts w:hint="default"/>
        <w:lang w:val="en-gb" w:eastAsia="en-gb" w:bidi="en-gb"/>
      </w:rPr>
    </w:lvl>
    <w:lvl w:ilvl="8">
      <w:start w:val="0"/>
      <w:numFmt w:val="bullet"/>
      <w:lvlText w:val="•"/>
      <w:lvlJc w:val="left"/>
      <w:pPr>
        <w:ind w:left="6207" w:hanging="360"/>
      </w:pPr>
      <w:rPr>
        <w:rFonts w:hint="default"/>
        <w:lang w:val="en-gb" w:eastAsia="en-gb" w:bidi="en-gb"/>
      </w:rPr>
    </w:lvl>
  </w:abstractNum>
  <w:abstractNum w:abstractNumId="26">
    <w:multiLevelType w:val="hybridMultilevel"/>
    <w:lvl w:ilvl="0">
      <w:start w:val="0"/>
      <w:numFmt w:val="bullet"/>
      <w:lvlText w:val=""/>
      <w:lvlJc w:val="left"/>
      <w:pPr>
        <w:ind w:left="466"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6"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3"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0" w:hanging="360"/>
      </w:pPr>
      <w:rPr>
        <w:rFonts w:hint="default"/>
        <w:lang w:val="en-gb" w:eastAsia="en-gb" w:bidi="en-gb"/>
      </w:rPr>
    </w:lvl>
    <w:lvl w:ilvl="7">
      <w:start w:val="0"/>
      <w:numFmt w:val="bullet"/>
      <w:lvlText w:val="•"/>
      <w:lvlJc w:val="left"/>
      <w:pPr>
        <w:ind w:left="5488" w:hanging="360"/>
      </w:pPr>
      <w:rPr>
        <w:rFonts w:hint="default"/>
        <w:lang w:val="en-gb" w:eastAsia="en-gb" w:bidi="en-gb"/>
      </w:rPr>
    </w:lvl>
    <w:lvl w:ilvl="8">
      <w:start w:val="0"/>
      <w:numFmt w:val="bullet"/>
      <w:lvlText w:val="•"/>
      <w:lvlJc w:val="left"/>
      <w:pPr>
        <w:ind w:left="6207" w:hanging="360"/>
      </w:pPr>
      <w:rPr>
        <w:rFonts w:hint="default"/>
        <w:lang w:val="en-gb" w:eastAsia="en-gb" w:bidi="en-gb"/>
      </w:rPr>
    </w:lvl>
  </w:abstractNum>
  <w:abstractNum w:abstractNumId="25">
    <w:multiLevelType w:val="hybridMultilevel"/>
    <w:lvl w:ilvl="0">
      <w:start w:val="0"/>
      <w:numFmt w:val="bullet"/>
      <w:lvlText w:val=""/>
      <w:lvlJc w:val="left"/>
      <w:pPr>
        <w:ind w:left="466"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6"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3"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0" w:hanging="360"/>
      </w:pPr>
      <w:rPr>
        <w:rFonts w:hint="default"/>
        <w:lang w:val="en-gb" w:eastAsia="en-gb" w:bidi="en-gb"/>
      </w:rPr>
    </w:lvl>
    <w:lvl w:ilvl="7">
      <w:start w:val="0"/>
      <w:numFmt w:val="bullet"/>
      <w:lvlText w:val="•"/>
      <w:lvlJc w:val="left"/>
      <w:pPr>
        <w:ind w:left="5488" w:hanging="360"/>
      </w:pPr>
      <w:rPr>
        <w:rFonts w:hint="default"/>
        <w:lang w:val="en-gb" w:eastAsia="en-gb" w:bidi="en-gb"/>
      </w:rPr>
    </w:lvl>
    <w:lvl w:ilvl="8">
      <w:start w:val="0"/>
      <w:numFmt w:val="bullet"/>
      <w:lvlText w:val="•"/>
      <w:lvlJc w:val="left"/>
      <w:pPr>
        <w:ind w:left="6207" w:hanging="360"/>
      </w:pPr>
      <w:rPr>
        <w:rFonts w:hint="default"/>
        <w:lang w:val="en-gb" w:eastAsia="en-gb" w:bidi="en-gb"/>
      </w:rPr>
    </w:lvl>
  </w:abstractNum>
  <w:abstractNum w:abstractNumId="24">
    <w:multiLevelType w:val="hybridMultilevel"/>
    <w:lvl w:ilvl="0">
      <w:start w:val="0"/>
      <w:numFmt w:val="bullet"/>
      <w:lvlText w:val=""/>
      <w:lvlJc w:val="left"/>
      <w:pPr>
        <w:ind w:left="466"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6"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3"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0" w:hanging="360"/>
      </w:pPr>
      <w:rPr>
        <w:rFonts w:hint="default"/>
        <w:lang w:val="en-gb" w:eastAsia="en-gb" w:bidi="en-gb"/>
      </w:rPr>
    </w:lvl>
    <w:lvl w:ilvl="7">
      <w:start w:val="0"/>
      <w:numFmt w:val="bullet"/>
      <w:lvlText w:val="•"/>
      <w:lvlJc w:val="left"/>
      <w:pPr>
        <w:ind w:left="5488" w:hanging="360"/>
      </w:pPr>
      <w:rPr>
        <w:rFonts w:hint="default"/>
        <w:lang w:val="en-gb" w:eastAsia="en-gb" w:bidi="en-gb"/>
      </w:rPr>
    </w:lvl>
    <w:lvl w:ilvl="8">
      <w:start w:val="0"/>
      <w:numFmt w:val="bullet"/>
      <w:lvlText w:val="•"/>
      <w:lvlJc w:val="left"/>
      <w:pPr>
        <w:ind w:left="6207" w:hanging="360"/>
      </w:pPr>
      <w:rPr>
        <w:rFonts w:hint="default"/>
        <w:lang w:val="en-gb" w:eastAsia="en-gb" w:bidi="en-gb"/>
      </w:rPr>
    </w:lvl>
  </w:abstractNum>
  <w:abstractNum w:abstractNumId="23">
    <w:multiLevelType w:val="hybridMultilevel"/>
    <w:lvl w:ilvl="0">
      <w:start w:val="0"/>
      <w:numFmt w:val="bullet"/>
      <w:lvlText w:val=""/>
      <w:lvlJc w:val="left"/>
      <w:pPr>
        <w:ind w:left="466"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6"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3"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0" w:hanging="360"/>
      </w:pPr>
      <w:rPr>
        <w:rFonts w:hint="default"/>
        <w:lang w:val="en-gb" w:eastAsia="en-gb" w:bidi="en-gb"/>
      </w:rPr>
    </w:lvl>
    <w:lvl w:ilvl="7">
      <w:start w:val="0"/>
      <w:numFmt w:val="bullet"/>
      <w:lvlText w:val="•"/>
      <w:lvlJc w:val="left"/>
      <w:pPr>
        <w:ind w:left="5488" w:hanging="360"/>
      </w:pPr>
      <w:rPr>
        <w:rFonts w:hint="default"/>
        <w:lang w:val="en-gb" w:eastAsia="en-gb" w:bidi="en-gb"/>
      </w:rPr>
    </w:lvl>
    <w:lvl w:ilvl="8">
      <w:start w:val="0"/>
      <w:numFmt w:val="bullet"/>
      <w:lvlText w:val="•"/>
      <w:lvlJc w:val="left"/>
      <w:pPr>
        <w:ind w:left="6207" w:hanging="360"/>
      </w:pPr>
      <w:rPr>
        <w:rFonts w:hint="default"/>
        <w:lang w:val="en-gb" w:eastAsia="en-gb" w:bidi="en-gb"/>
      </w:rPr>
    </w:lvl>
  </w:abstractNum>
  <w:abstractNum w:abstractNumId="22">
    <w:multiLevelType w:val="hybridMultilevel"/>
    <w:lvl w:ilvl="0">
      <w:start w:val="69"/>
      <w:numFmt w:val="decimal"/>
      <w:lvlText w:val="%1."/>
      <w:lvlJc w:val="left"/>
      <w:pPr>
        <w:ind w:left="114" w:hanging="720"/>
        <w:jc w:val="left"/>
      </w:pPr>
      <w:rPr>
        <w:rFonts w:hint="default" w:ascii="Arial" w:hAnsi="Arial" w:eastAsia="Arial" w:cs="Arial"/>
        <w:spacing w:val="-1"/>
        <w:w w:val="99"/>
        <w:sz w:val="24"/>
        <w:szCs w:val="24"/>
        <w:lang w:val="en-gb" w:eastAsia="en-gb" w:bidi="en-gb"/>
      </w:rPr>
    </w:lvl>
    <w:lvl w:ilvl="1">
      <w:start w:val="0"/>
      <w:numFmt w:val="bullet"/>
      <w:lvlText w:val=""/>
      <w:lvlJc w:val="left"/>
      <w:pPr>
        <w:ind w:left="1194" w:hanging="360"/>
      </w:pPr>
      <w:rPr>
        <w:rFonts w:hint="default"/>
        <w:w w:val="100"/>
        <w:lang w:val="en-gb" w:eastAsia="en-gb" w:bidi="en-gb"/>
      </w:rPr>
    </w:lvl>
    <w:lvl w:ilvl="2">
      <w:start w:val="0"/>
      <w:numFmt w:val="bullet"/>
      <w:lvlText w:val="•"/>
      <w:lvlJc w:val="left"/>
      <w:pPr>
        <w:ind w:left="4540" w:hanging="360"/>
      </w:pPr>
      <w:rPr>
        <w:rFonts w:hint="default"/>
        <w:lang w:val="en-gb" w:eastAsia="en-gb" w:bidi="en-gb"/>
      </w:rPr>
    </w:lvl>
    <w:lvl w:ilvl="3">
      <w:start w:val="0"/>
      <w:numFmt w:val="bullet"/>
      <w:lvlText w:val="•"/>
      <w:lvlJc w:val="left"/>
      <w:pPr>
        <w:ind w:left="7260" w:hanging="360"/>
      </w:pPr>
      <w:rPr>
        <w:rFonts w:hint="default"/>
        <w:lang w:val="en-gb" w:eastAsia="en-gb" w:bidi="en-gb"/>
      </w:rPr>
    </w:lvl>
    <w:lvl w:ilvl="4">
      <w:start w:val="0"/>
      <w:numFmt w:val="bullet"/>
      <w:lvlText w:val="•"/>
      <w:lvlJc w:val="left"/>
      <w:pPr>
        <w:ind w:left="8020" w:hanging="360"/>
      </w:pPr>
      <w:rPr>
        <w:rFonts w:hint="default"/>
        <w:lang w:val="en-gb" w:eastAsia="en-gb" w:bidi="en-gb"/>
      </w:rPr>
    </w:lvl>
    <w:lvl w:ilvl="5">
      <w:start w:val="0"/>
      <w:numFmt w:val="bullet"/>
      <w:lvlText w:val="•"/>
      <w:lvlJc w:val="left"/>
      <w:pPr>
        <w:ind w:left="8260" w:hanging="360"/>
      </w:pPr>
      <w:rPr>
        <w:rFonts w:hint="default"/>
        <w:lang w:val="en-gb" w:eastAsia="en-gb" w:bidi="en-gb"/>
      </w:rPr>
    </w:lvl>
    <w:lvl w:ilvl="6">
      <w:start w:val="0"/>
      <w:numFmt w:val="bullet"/>
      <w:lvlText w:val="•"/>
      <w:lvlJc w:val="left"/>
      <w:pPr>
        <w:ind w:left="8520" w:hanging="360"/>
      </w:pPr>
      <w:rPr>
        <w:rFonts w:hint="default"/>
        <w:lang w:val="en-gb" w:eastAsia="en-gb" w:bidi="en-gb"/>
      </w:rPr>
    </w:lvl>
    <w:lvl w:ilvl="7">
      <w:start w:val="0"/>
      <w:numFmt w:val="bullet"/>
      <w:lvlText w:val="•"/>
      <w:lvlJc w:val="left"/>
      <w:pPr>
        <w:ind w:left="8600" w:hanging="360"/>
      </w:pPr>
      <w:rPr>
        <w:rFonts w:hint="default"/>
        <w:lang w:val="en-gb" w:eastAsia="en-gb" w:bidi="en-gb"/>
      </w:rPr>
    </w:lvl>
    <w:lvl w:ilvl="8">
      <w:start w:val="0"/>
      <w:numFmt w:val="bullet"/>
      <w:lvlText w:val="•"/>
      <w:lvlJc w:val="left"/>
      <w:pPr>
        <w:ind w:left="9120" w:hanging="360"/>
      </w:pPr>
      <w:rPr>
        <w:rFonts w:hint="default"/>
        <w:lang w:val="en-gb" w:eastAsia="en-gb" w:bidi="en-gb"/>
      </w:rPr>
    </w:lvl>
  </w:abstractNum>
  <w:abstractNum w:abstractNumId="21">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20">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19">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18">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17">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16">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15">
    <w:multiLevelType w:val="hybridMultilevel"/>
    <w:lvl w:ilvl="0">
      <w:start w:val="0"/>
      <w:numFmt w:val="bullet"/>
      <w:lvlText w:val=""/>
      <w:lvlJc w:val="left"/>
      <w:pPr>
        <w:ind w:left="468" w:hanging="360"/>
      </w:pPr>
      <w:rPr>
        <w:rFonts w:hint="default" w:ascii="Symbol" w:hAnsi="Symbol" w:eastAsia="Symbol" w:cs="Symbol"/>
        <w:w w:val="100"/>
        <w:sz w:val="24"/>
        <w:szCs w:val="24"/>
        <w:lang w:val="en-gb" w:eastAsia="en-gb" w:bidi="en-gb"/>
      </w:rPr>
    </w:lvl>
    <w:lvl w:ilvl="1">
      <w:start w:val="0"/>
      <w:numFmt w:val="bullet"/>
      <w:lvlText w:val="•"/>
      <w:lvlJc w:val="left"/>
      <w:pPr>
        <w:ind w:left="1178" w:hanging="360"/>
      </w:pPr>
      <w:rPr>
        <w:rFonts w:hint="default"/>
        <w:lang w:val="en-gb" w:eastAsia="en-gb" w:bidi="en-gb"/>
      </w:rPr>
    </w:lvl>
    <w:lvl w:ilvl="2">
      <w:start w:val="0"/>
      <w:numFmt w:val="bullet"/>
      <w:lvlText w:val="•"/>
      <w:lvlJc w:val="left"/>
      <w:pPr>
        <w:ind w:left="1897" w:hanging="360"/>
      </w:pPr>
      <w:rPr>
        <w:rFonts w:hint="default"/>
        <w:lang w:val="en-gb" w:eastAsia="en-gb" w:bidi="en-gb"/>
      </w:rPr>
    </w:lvl>
    <w:lvl w:ilvl="3">
      <w:start w:val="0"/>
      <w:numFmt w:val="bullet"/>
      <w:lvlText w:val="•"/>
      <w:lvlJc w:val="left"/>
      <w:pPr>
        <w:ind w:left="2615" w:hanging="360"/>
      </w:pPr>
      <w:rPr>
        <w:rFonts w:hint="default"/>
        <w:lang w:val="en-gb" w:eastAsia="en-gb" w:bidi="en-gb"/>
      </w:rPr>
    </w:lvl>
    <w:lvl w:ilvl="4">
      <w:start w:val="0"/>
      <w:numFmt w:val="bullet"/>
      <w:lvlText w:val="•"/>
      <w:lvlJc w:val="left"/>
      <w:pPr>
        <w:ind w:left="3334" w:hanging="360"/>
      </w:pPr>
      <w:rPr>
        <w:rFonts w:hint="default"/>
        <w:lang w:val="en-gb" w:eastAsia="en-gb" w:bidi="en-gb"/>
      </w:rPr>
    </w:lvl>
    <w:lvl w:ilvl="5">
      <w:start w:val="0"/>
      <w:numFmt w:val="bullet"/>
      <w:lvlText w:val="•"/>
      <w:lvlJc w:val="left"/>
      <w:pPr>
        <w:ind w:left="4052" w:hanging="360"/>
      </w:pPr>
      <w:rPr>
        <w:rFonts w:hint="default"/>
        <w:lang w:val="en-gb" w:eastAsia="en-gb" w:bidi="en-gb"/>
      </w:rPr>
    </w:lvl>
    <w:lvl w:ilvl="6">
      <w:start w:val="0"/>
      <w:numFmt w:val="bullet"/>
      <w:lvlText w:val="•"/>
      <w:lvlJc w:val="left"/>
      <w:pPr>
        <w:ind w:left="4771" w:hanging="360"/>
      </w:pPr>
      <w:rPr>
        <w:rFonts w:hint="default"/>
        <w:lang w:val="en-gb" w:eastAsia="en-gb" w:bidi="en-gb"/>
      </w:rPr>
    </w:lvl>
    <w:lvl w:ilvl="7">
      <w:start w:val="0"/>
      <w:numFmt w:val="bullet"/>
      <w:lvlText w:val="•"/>
      <w:lvlJc w:val="left"/>
      <w:pPr>
        <w:ind w:left="5489" w:hanging="360"/>
      </w:pPr>
      <w:rPr>
        <w:rFonts w:hint="default"/>
        <w:lang w:val="en-gb" w:eastAsia="en-gb" w:bidi="en-gb"/>
      </w:rPr>
    </w:lvl>
    <w:lvl w:ilvl="8">
      <w:start w:val="0"/>
      <w:numFmt w:val="bullet"/>
      <w:lvlText w:val="•"/>
      <w:lvlJc w:val="left"/>
      <w:pPr>
        <w:ind w:left="6208" w:hanging="360"/>
      </w:pPr>
      <w:rPr>
        <w:rFonts w:hint="default"/>
        <w:lang w:val="en-gb" w:eastAsia="en-gb" w:bidi="en-gb"/>
      </w:rPr>
    </w:lvl>
  </w:abstractNum>
  <w:abstractNum w:abstractNumId="14">
    <w:multiLevelType w:val="hybridMultilevel"/>
    <w:lvl w:ilvl="0">
      <w:start w:val="0"/>
      <w:numFmt w:val="bullet"/>
      <w:lvlText w:val=""/>
      <w:lvlJc w:val="left"/>
      <w:pPr>
        <w:ind w:left="827" w:hanging="360"/>
      </w:pPr>
      <w:rPr>
        <w:rFonts w:hint="default" w:ascii="Symbol" w:hAnsi="Symbol" w:eastAsia="Symbol" w:cs="Symbol"/>
        <w:w w:val="100"/>
        <w:sz w:val="24"/>
        <w:szCs w:val="24"/>
        <w:lang w:val="en-gb" w:eastAsia="en-gb" w:bidi="en-gb"/>
      </w:rPr>
    </w:lvl>
    <w:lvl w:ilvl="1">
      <w:start w:val="0"/>
      <w:numFmt w:val="bullet"/>
      <w:lvlText w:val="•"/>
      <w:lvlJc w:val="left"/>
      <w:pPr>
        <w:ind w:left="1715" w:hanging="360"/>
      </w:pPr>
      <w:rPr>
        <w:rFonts w:hint="default"/>
        <w:lang w:val="en-gb" w:eastAsia="en-gb" w:bidi="en-gb"/>
      </w:rPr>
    </w:lvl>
    <w:lvl w:ilvl="2">
      <w:start w:val="0"/>
      <w:numFmt w:val="bullet"/>
      <w:lvlText w:val="•"/>
      <w:lvlJc w:val="left"/>
      <w:pPr>
        <w:ind w:left="2610" w:hanging="360"/>
      </w:pPr>
      <w:rPr>
        <w:rFonts w:hint="default"/>
        <w:lang w:val="en-gb" w:eastAsia="en-gb" w:bidi="en-gb"/>
      </w:rPr>
    </w:lvl>
    <w:lvl w:ilvl="3">
      <w:start w:val="0"/>
      <w:numFmt w:val="bullet"/>
      <w:lvlText w:val="•"/>
      <w:lvlJc w:val="left"/>
      <w:pPr>
        <w:ind w:left="3506" w:hanging="360"/>
      </w:pPr>
      <w:rPr>
        <w:rFonts w:hint="default"/>
        <w:lang w:val="en-gb" w:eastAsia="en-gb" w:bidi="en-gb"/>
      </w:rPr>
    </w:lvl>
    <w:lvl w:ilvl="4">
      <w:start w:val="0"/>
      <w:numFmt w:val="bullet"/>
      <w:lvlText w:val="•"/>
      <w:lvlJc w:val="left"/>
      <w:pPr>
        <w:ind w:left="4401" w:hanging="360"/>
      </w:pPr>
      <w:rPr>
        <w:rFonts w:hint="default"/>
        <w:lang w:val="en-gb" w:eastAsia="en-gb" w:bidi="en-gb"/>
      </w:rPr>
    </w:lvl>
    <w:lvl w:ilvl="5">
      <w:start w:val="0"/>
      <w:numFmt w:val="bullet"/>
      <w:lvlText w:val="•"/>
      <w:lvlJc w:val="left"/>
      <w:pPr>
        <w:ind w:left="5297" w:hanging="360"/>
      </w:pPr>
      <w:rPr>
        <w:rFonts w:hint="default"/>
        <w:lang w:val="en-gb" w:eastAsia="en-gb" w:bidi="en-gb"/>
      </w:rPr>
    </w:lvl>
    <w:lvl w:ilvl="6">
      <w:start w:val="0"/>
      <w:numFmt w:val="bullet"/>
      <w:lvlText w:val="•"/>
      <w:lvlJc w:val="left"/>
      <w:pPr>
        <w:ind w:left="6192" w:hanging="360"/>
      </w:pPr>
      <w:rPr>
        <w:rFonts w:hint="default"/>
        <w:lang w:val="en-gb" w:eastAsia="en-gb" w:bidi="en-gb"/>
      </w:rPr>
    </w:lvl>
    <w:lvl w:ilvl="7">
      <w:start w:val="0"/>
      <w:numFmt w:val="bullet"/>
      <w:lvlText w:val="•"/>
      <w:lvlJc w:val="left"/>
      <w:pPr>
        <w:ind w:left="7087" w:hanging="360"/>
      </w:pPr>
      <w:rPr>
        <w:rFonts w:hint="default"/>
        <w:lang w:val="en-gb" w:eastAsia="en-gb" w:bidi="en-gb"/>
      </w:rPr>
    </w:lvl>
    <w:lvl w:ilvl="8">
      <w:start w:val="0"/>
      <w:numFmt w:val="bullet"/>
      <w:lvlText w:val="•"/>
      <w:lvlJc w:val="left"/>
      <w:pPr>
        <w:ind w:left="7983" w:hanging="360"/>
      </w:pPr>
      <w:rPr>
        <w:rFonts w:hint="default"/>
        <w:lang w:val="en-gb" w:eastAsia="en-gb" w:bidi="en-gb"/>
      </w:rPr>
    </w:lvl>
  </w:abstractNum>
  <w:abstractNum w:abstractNumId="13">
    <w:multiLevelType w:val="hybridMultilevel"/>
    <w:lvl w:ilvl="0">
      <w:start w:val="1"/>
      <w:numFmt w:val="decimal"/>
      <w:lvlText w:val="%1."/>
      <w:lvlJc w:val="left"/>
      <w:pPr>
        <w:ind w:left="114" w:hanging="720"/>
        <w:jc w:val="left"/>
      </w:pPr>
      <w:rPr>
        <w:rFonts w:hint="default" w:ascii="Arial" w:hAnsi="Arial" w:eastAsia="Arial" w:cs="Arial"/>
        <w:spacing w:val="-2"/>
        <w:w w:val="99"/>
        <w:sz w:val="24"/>
        <w:szCs w:val="24"/>
        <w:lang w:val="en-gb" w:eastAsia="en-gb" w:bidi="en-gb"/>
      </w:rPr>
    </w:lvl>
    <w:lvl w:ilvl="1">
      <w:start w:val="0"/>
      <w:numFmt w:val="bullet"/>
      <w:lvlText w:val=""/>
      <w:lvlJc w:val="left"/>
      <w:pPr>
        <w:ind w:left="1194" w:hanging="360"/>
      </w:pPr>
      <w:rPr>
        <w:rFonts w:hint="default" w:ascii="Symbol" w:hAnsi="Symbol" w:eastAsia="Symbol" w:cs="Symbol"/>
        <w:color w:val="111111"/>
        <w:w w:val="100"/>
        <w:sz w:val="24"/>
        <w:szCs w:val="24"/>
        <w:lang w:val="en-gb" w:eastAsia="en-gb" w:bidi="en-gb"/>
      </w:rPr>
    </w:lvl>
    <w:lvl w:ilvl="2">
      <w:start w:val="0"/>
      <w:numFmt w:val="bullet"/>
      <w:lvlText w:val="•"/>
      <w:lvlJc w:val="left"/>
      <w:pPr>
        <w:ind w:left="2191" w:hanging="360"/>
      </w:pPr>
      <w:rPr>
        <w:rFonts w:hint="default"/>
        <w:lang w:val="en-gb" w:eastAsia="en-gb" w:bidi="en-gb"/>
      </w:rPr>
    </w:lvl>
    <w:lvl w:ilvl="3">
      <w:start w:val="0"/>
      <w:numFmt w:val="bullet"/>
      <w:lvlText w:val="•"/>
      <w:lvlJc w:val="left"/>
      <w:pPr>
        <w:ind w:left="3183" w:hanging="360"/>
      </w:pPr>
      <w:rPr>
        <w:rFonts w:hint="default"/>
        <w:lang w:val="en-gb" w:eastAsia="en-gb" w:bidi="en-gb"/>
      </w:rPr>
    </w:lvl>
    <w:lvl w:ilvl="4">
      <w:start w:val="0"/>
      <w:numFmt w:val="bullet"/>
      <w:lvlText w:val="•"/>
      <w:lvlJc w:val="left"/>
      <w:pPr>
        <w:ind w:left="4175" w:hanging="360"/>
      </w:pPr>
      <w:rPr>
        <w:rFonts w:hint="default"/>
        <w:lang w:val="en-gb" w:eastAsia="en-gb" w:bidi="en-gb"/>
      </w:rPr>
    </w:lvl>
    <w:lvl w:ilvl="5">
      <w:start w:val="0"/>
      <w:numFmt w:val="bullet"/>
      <w:lvlText w:val="•"/>
      <w:lvlJc w:val="left"/>
      <w:pPr>
        <w:ind w:left="5167" w:hanging="360"/>
      </w:pPr>
      <w:rPr>
        <w:rFonts w:hint="default"/>
        <w:lang w:val="en-gb" w:eastAsia="en-gb" w:bidi="en-gb"/>
      </w:rPr>
    </w:lvl>
    <w:lvl w:ilvl="6">
      <w:start w:val="0"/>
      <w:numFmt w:val="bullet"/>
      <w:lvlText w:val="•"/>
      <w:lvlJc w:val="left"/>
      <w:pPr>
        <w:ind w:left="6159" w:hanging="360"/>
      </w:pPr>
      <w:rPr>
        <w:rFonts w:hint="default"/>
        <w:lang w:val="en-gb" w:eastAsia="en-gb" w:bidi="en-gb"/>
      </w:rPr>
    </w:lvl>
    <w:lvl w:ilvl="7">
      <w:start w:val="0"/>
      <w:numFmt w:val="bullet"/>
      <w:lvlText w:val="•"/>
      <w:lvlJc w:val="left"/>
      <w:pPr>
        <w:ind w:left="7150" w:hanging="360"/>
      </w:pPr>
      <w:rPr>
        <w:rFonts w:hint="default"/>
        <w:lang w:val="en-gb" w:eastAsia="en-gb" w:bidi="en-gb"/>
      </w:rPr>
    </w:lvl>
    <w:lvl w:ilvl="8">
      <w:start w:val="0"/>
      <w:numFmt w:val="bullet"/>
      <w:lvlText w:val="•"/>
      <w:lvlJc w:val="left"/>
      <w:pPr>
        <w:ind w:left="8142" w:hanging="360"/>
      </w:pPr>
      <w:rPr>
        <w:rFonts w:hint="default"/>
        <w:lang w:val="en-gb" w:eastAsia="en-gb" w:bidi="en-gb"/>
      </w:rPr>
    </w:lvl>
  </w:abstractNum>
  <w:abstractNum w:abstractNumId="12">
    <w:multiLevelType w:val="hybridMultilevel"/>
    <w:lvl w:ilvl="0">
      <w:start w:val="0"/>
      <w:numFmt w:val="bullet"/>
      <w:lvlText w:val=""/>
      <w:lvlJc w:val="left"/>
      <w:pPr>
        <w:ind w:left="780" w:hanging="360"/>
      </w:pPr>
      <w:rPr>
        <w:rFonts w:hint="default" w:ascii="Symbol" w:hAnsi="Symbol" w:eastAsia="Symbol" w:cs="Symbol"/>
        <w:w w:val="100"/>
        <w:sz w:val="24"/>
        <w:szCs w:val="24"/>
        <w:lang w:val="en-gb" w:eastAsia="en-gb" w:bidi="en-gb"/>
      </w:rPr>
    </w:lvl>
    <w:lvl w:ilvl="1">
      <w:start w:val="0"/>
      <w:numFmt w:val="bullet"/>
      <w:lvlText w:val=""/>
      <w:lvlJc w:val="left"/>
      <w:pPr>
        <w:ind w:left="1194" w:hanging="360"/>
      </w:pPr>
      <w:rPr>
        <w:rFonts w:hint="default" w:ascii="Symbol" w:hAnsi="Symbol" w:eastAsia="Symbol" w:cs="Symbol"/>
        <w:color w:val="111111"/>
        <w:w w:val="100"/>
        <w:sz w:val="24"/>
        <w:szCs w:val="24"/>
        <w:lang w:val="en-gb" w:eastAsia="en-gb" w:bidi="en-gb"/>
      </w:rPr>
    </w:lvl>
    <w:lvl w:ilvl="2">
      <w:start w:val="0"/>
      <w:numFmt w:val="bullet"/>
      <w:lvlText w:val="•"/>
      <w:lvlJc w:val="left"/>
      <w:pPr>
        <w:ind w:left="2191" w:hanging="360"/>
      </w:pPr>
      <w:rPr>
        <w:rFonts w:hint="default"/>
        <w:lang w:val="en-gb" w:eastAsia="en-gb" w:bidi="en-gb"/>
      </w:rPr>
    </w:lvl>
    <w:lvl w:ilvl="3">
      <w:start w:val="0"/>
      <w:numFmt w:val="bullet"/>
      <w:lvlText w:val="•"/>
      <w:lvlJc w:val="left"/>
      <w:pPr>
        <w:ind w:left="3183" w:hanging="360"/>
      </w:pPr>
      <w:rPr>
        <w:rFonts w:hint="default"/>
        <w:lang w:val="en-gb" w:eastAsia="en-gb" w:bidi="en-gb"/>
      </w:rPr>
    </w:lvl>
    <w:lvl w:ilvl="4">
      <w:start w:val="0"/>
      <w:numFmt w:val="bullet"/>
      <w:lvlText w:val="•"/>
      <w:lvlJc w:val="left"/>
      <w:pPr>
        <w:ind w:left="4175" w:hanging="360"/>
      </w:pPr>
      <w:rPr>
        <w:rFonts w:hint="default"/>
        <w:lang w:val="en-gb" w:eastAsia="en-gb" w:bidi="en-gb"/>
      </w:rPr>
    </w:lvl>
    <w:lvl w:ilvl="5">
      <w:start w:val="0"/>
      <w:numFmt w:val="bullet"/>
      <w:lvlText w:val="•"/>
      <w:lvlJc w:val="left"/>
      <w:pPr>
        <w:ind w:left="5167" w:hanging="360"/>
      </w:pPr>
      <w:rPr>
        <w:rFonts w:hint="default"/>
        <w:lang w:val="en-gb" w:eastAsia="en-gb" w:bidi="en-gb"/>
      </w:rPr>
    </w:lvl>
    <w:lvl w:ilvl="6">
      <w:start w:val="0"/>
      <w:numFmt w:val="bullet"/>
      <w:lvlText w:val="•"/>
      <w:lvlJc w:val="left"/>
      <w:pPr>
        <w:ind w:left="6159" w:hanging="360"/>
      </w:pPr>
      <w:rPr>
        <w:rFonts w:hint="default"/>
        <w:lang w:val="en-gb" w:eastAsia="en-gb" w:bidi="en-gb"/>
      </w:rPr>
    </w:lvl>
    <w:lvl w:ilvl="7">
      <w:start w:val="0"/>
      <w:numFmt w:val="bullet"/>
      <w:lvlText w:val="•"/>
      <w:lvlJc w:val="left"/>
      <w:pPr>
        <w:ind w:left="7150" w:hanging="360"/>
      </w:pPr>
      <w:rPr>
        <w:rFonts w:hint="default"/>
        <w:lang w:val="en-gb" w:eastAsia="en-gb" w:bidi="en-gb"/>
      </w:rPr>
    </w:lvl>
    <w:lvl w:ilvl="8">
      <w:start w:val="0"/>
      <w:numFmt w:val="bullet"/>
      <w:lvlText w:val="•"/>
      <w:lvlJc w:val="left"/>
      <w:pPr>
        <w:ind w:left="8142" w:hanging="360"/>
      </w:pPr>
      <w:rPr>
        <w:rFonts w:hint="default"/>
        <w:lang w:val="en-gb" w:eastAsia="en-gb" w:bidi="en-gb"/>
      </w:rPr>
    </w:lvl>
  </w:abstractNum>
  <w:abstractNum w:abstractNumId="11">
    <w:multiLevelType w:val="hybridMultilevel"/>
    <w:lvl w:ilvl="0">
      <w:start w:val="0"/>
      <w:numFmt w:val="bullet"/>
      <w:lvlText w:val=""/>
      <w:lvlJc w:val="left"/>
      <w:pPr>
        <w:ind w:left="821" w:hanging="360"/>
      </w:pPr>
      <w:rPr>
        <w:rFonts w:hint="default" w:ascii="Symbol" w:hAnsi="Symbol" w:eastAsia="Symbol" w:cs="Symbol"/>
        <w:w w:val="100"/>
        <w:sz w:val="20"/>
        <w:szCs w:val="20"/>
        <w:lang w:val="en-gb" w:eastAsia="en-gb" w:bidi="en-gb"/>
      </w:rPr>
    </w:lvl>
    <w:lvl w:ilvl="1">
      <w:start w:val="0"/>
      <w:numFmt w:val="bullet"/>
      <w:lvlText w:val="•"/>
      <w:lvlJc w:val="left"/>
      <w:pPr>
        <w:ind w:left="1330" w:hanging="360"/>
      </w:pPr>
      <w:rPr>
        <w:rFonts w:hint="default"/>
        <w:lang w:val="en-gb" w:eastAsia="en-gb" w:bidi="en-gb"/>
      </w:rPr>
    </w:lvl>
    <w:lvl w:ilvl="2">
      <w:start w:val="0"/>
      <w:numFmt w:val="bullet"/>
      <w:lvlText w:val="•"/>
      <w:lvlJc w:val="left"/>
      <w:pPr>
        <w:ind w:left="1841" w:hanging="360"/>
      </w:pPr>
      <w:rPr>
        <w:rFonts w:hint="default"/>
        <w:lang w:val="en-gb" w:eastAsia="en-gb" w:bidi="en-gb"/>
      </w:rPr>
    </w:lvl>
    <w:lvl w:ilvl="3">
      <w:start w:val="0"/>
      <w:numFmt w:val="bullet"/>
      <w:lvlText w:val="•"/>
      <w:lvlJc w:val="left"/>
      <w:pPr>
        <w:ind w:left="2352" w:hanging="360"/>
      </w:pPr>
      <w:rPr>
        <w:rFonts w:hint="default"/>
        <w:lang w:val="en-gb" w:eastAsia="en-gb" w:bidi="en-gb"/>
      </w:rPr>
    </w:lvl>
    <w:lvl w:ilvl="4">
      <w:start w:val="0"/>
      <w:numFmt w:val="bullet"/>
      <w:lvlText w:val="•"/>
      <w:lvlJc w:val="left"/>
      <w:pPr>
        <w:ind w:left="2862" w:hanging="360"/>
      </w:pPr>
      <w:rPr>
        <w:rFonts w:hint="default"/>
        <w:lang w:val="en-gb" w:eastAsia="en-gb" w:bidi="en-gb"/>
      </w:rPr>
    </w:lvl>
    <w:lvl w:ilvl="5">
      <w:start w:val="0"/>
      <w:numFmt w:val="bullet"/>
      <w:lvlText w:val="•"/>
      <w:lvlJc w:val="left"/>
      <w:pPr>
        <w:ind w:left="3373" w:hanging="360"/>
      </w:pPr>
      <w:rPr>
        <w:rFonts w:hint="default"/>
        <w:lang w:val="en-gb" w:eastAsia="en-gb" w:bidi="en-gb"/>
      </w:rPr>
    </w:lvl>
    <w:lvl w:ilvl="6">
      <w:start w:val="0"/>
      <w:numFmt w:val="bullet"/>
      <w:lvlText w:val="•"/>
      <w:lvlJc w:val="left"/>
      <w:pPr>
        <w:ind w:left="3884" w:hanging="360"/>
      </w:pPr>
      <w:rPr>
        <w:rFonts w:hint="default"/>
        <w:lang w:val="en-gb" w:eastAsia="en-gb" w:bidi="en-gb"/>
      </w:rPr>
    </w:lvl>
    <w:lvl w:ilvl="7">
      <w:start w:val="0"/>
      <w:numFmt w:val="bullet"/>
      <w:lvlText w:val="•"/>
      <w:lvlJc w:val="left"/>
      <w:pPr>
        <w:ind w:left="4394" w:hanging="360"/>
      </w:pPr>
      <w:rPr>
        <w:rFonts w:hint="default"/>
        <w:lang w:val="en-gb" w:eastAsia="en-gb" w:bidi="en-gb"/>
      </w:rPr>
    </w:lvl>
    <w:lvl w:ilvl="8">
      <w:start w:val="0"/>
      <w:numFmt w:val="bullet"/>
      <w:lvlText w:val="•"/>
      <w:lvlJc w:val="left"/>
      <w:pPr>
        <w:ind w:left="4905" w:hanging="360"/>
      </w:pPr>
      <w:rPr>
        <w:rFonts w:hint="default"/>
        <w:lang w:val="en-gb" w:eastAsia="en-gb" w:bidi="en-gb"/>
      </w:rPr>
    </w:lvl>
  </w:abstractNum>
  <w:abstractNum w:abstractNumId="10">
    <w:multiLevelType w:val="hybridMultilevel"/>
    <w:lvl w:ilvl="0">
      <w:start w:val="0"/>
      <w:numFmt w:val="bullet"/>
      <w:lvlText w:val=""/>
      <w:lvlJc w:val="left"/>
      <w:pPr>
        <w:ind w:left="460" w:hanging="360"/>
      </w:pPr>
      <w:rPr>
        <w:rFonts w:hint="default" w:ascii="Symbol" w:hAnsi="Symbol" w:eastAsia="Symbol" w:cs="Symbol"/>
        <w:w w:val="100"/>
        <w:sz w:val="20"/>
        <w:szCs w:val="20"/>
        <w:lang w:val="en-gb" w:eastAsia="en-gb" w:bidi="en-gb"/>
      </w:rPr>
    </w:lvl>
    <w:lvl w:ilvl="1">
      <w:start w:val="0"/>
      <w:numFmt w:val="bullet"/>
      <w:lvlText w:val="•"/>
      <w:lvlJc w:val="left"/>
      <w:pPr>
        <w:ind w:left="708" w:hanging="360"/>
      </w:pPr>
      <w:rPr>
        <w:rFonts w:hint="default"/>
        <w:lang w:val="en-gb" w:eastAsia="en-gb" w:bidi="en-gb"/>
      </w:rPr>
    </w:lvl>
    <w:lvl w:ilvl="2">
      <w:start w:val="0"/>
      <w:numFmt w:val="bullet"/>
      <w:lvlText w:val="•"/>
      <w:lvlJc w:val="left"/>
      <w:pPr>
        <w:ind w:left="956" w:hanging="360"/>
      </w:pPr>
      <w:rPr>
        <w:rFonts w:hint="default"/>
        <w:lang w:val="en-gb" w:eastAsia="en-gb" w:bidi="en-gb"/>
      </w:rPr>
    </w:lvl>
    <w:lvl w:ilvl="3">
      <w:start w:val="0"/>
      <w:numFmt w:val="bullet"/>
      <w:lvlText w:val="•"/>
      <w:lvlJc w:val="left"/>
      <w:pPr>
        <w:ind w:left="1204" w:hanging="360"/>
      </w:pPr>
      <w:rPr>
        <w:rFonts w:hint="default"/>
        <w:lang w:val="en-gb" w:eastAsia="en-gb" w:bidi="en-gb"/>
      </w:rPr>
    </w:lvl>
    <w:lvl w:ilvl="4">
      <w:start w:val="0"/>
      <w:numFmt w:val="bullet"/>
      <w:lvlText w:val="•"/>
      <w:lvlJc w:val="left"/>
      <w:pPr>
        <w:ind w:left="1452" w:hanging="360"/>
      </w:pPr>
      <w:rPr>
        <w:rFonts w:hint="default"/>
        <w:lang w:val="en-gb" w:eastAsia="en-gb" w:bidi="en-gb"/>
      </w:rPr>
    </w:lvl>
    <w:lvl w:ilvl="5">
      <w:start w:val="0"/>
      <w:numFmt w:val="bullet"/>
      <w:lvlText w:val="•"/>
      <w:lvlJc w:val="left"/>
      <w:pPr>
        <w:ind w:left="1700" w:hanging="360"/>
      </w:pPr>
      <w:rPr>
        <w:rFonts w:hint="default"/>
        <w:lang w:val="en-gb" w:eastAsia="en-gb" w:bidi="en-gb"/>
      </w:rPr>
    </w:lvl>
    <w:lvl w:ilvl="6">
      <w:start w:val="0"/>
      <w:numFmt w:val="bullet"/>
      <w:lvlText w:val="•"/>
      <w:lvlJc w:val="left"/>
      <w:pPr>
        <w:ind w:left="1948" w:hanging="360"/>
      </w:pPr>
      <w:rPr>
        <w:rFonts w:hint="default"/>
        <w:lang w:val="en-gb" w:eastAsia="en-gb" w:bidi="en-gb"/>
      </w:rPr>
    </w:lvl>
    <w:lvl w:ilvl="7">
      <w:start w:val="0"/>
      <w:numFmt w:val="bullet"/>
      <w:lvlText w:val="•"/>
      <w:lvlJc w:val="left"/>
      <w:pPr>
        <w:ind w:left="2197" w:hanging="360"/>
      </w:pPr>
      <w:rPr>
        <w:rFonts w:hint="default"/>
        <w:lang w:val="en-gb" w:eastAsia="en-gb" w:bidi="en-gb"/>
      </w:rPr>
    </w:lvl>
    <w:lvl w:ilvl="8">
      <w:start w:val="0"/>
      <w:numFmt w:val="bullet"/>
      <w:lvlText w:val="•"/>
      <w:lvlJc w:val="left"/>
      <w:pPr>
        <w:ind w:left="2445" w:hanging="360"/>
      </w:pPr>
      <w:rPr>
        <w:rFonts w:hint="default"/>
        <w:lang w:val="en-gb" w:eastAsia="en-gb" w:bidi="en-gb"/>
      </w:rPr>
    </w:lvl>
  </w:abstractNum>
  <w:abstractNum w:abstractNumId="9">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8" w:hanging="360"/>
      </w:pPr>
      <w:rPr>
        <w:rFonts w:hint="default"/>
        <w:lang w:val="en-gb" w:eastAsia="en-gb" w:bidi="en-gb"/>
      </w:rPr>
    </w:lvl>
    <w:lvl w:ilvl="2">
      <w:start w:val="0"/>
      <w:numFmt w:val="bullet"/>
      <w:lvlText w:val="•"/>
      <w:lvlJc w:val="left"/>
      <w:pPr>
        <w:ind w:left="956" w:hanging="360"/>
      </w:pPr>
      <w:rPr>
        <w:rFonts w:hint="default"/>
        <w:lang w:val="en-gb" w:eastAsia="en-gb" w:bidi="en-gb"/>
      </w:rPr>
    </w:lvl>
    <w:lvl w:ilvl="3">
      <w:start w:val="0"/>
      <w:numFmt w:val="bullet"/>
      <w:lvlText w:val="•"/>
      <w:lvlJc w:val="left"/>
      <w:pPr>
        <w:ind w:left="1204" w:hanging="360"/>
      </w:pPr>
      <w:rPr>
        <w:rFonts w:hint="default"/>
        <w:lang w:val="en-gb" w:eastAsia="en-gb" w:bidi="en-gb"/>
      </w:rPr>
    </w:lvl>
    <w:lvl w:ilvl="4">
      <w:start w:val="0"/>
      <w:numFmt w:val="bullet"/>
      <w:lvlText w:val="•"/>
      <w:lvlJc w:val="left"/>
      <w:pPr>
        <w:ind w:left="1452" w:hanging="360"/>
      </w:pPr>
      <w:rPr>
        <w:rFonts w:hint="default"/>
        <w:lang w:val="en-gb" w:eastAsia="en-gb" w:bidi="en-gb"/>
      </w:rPr>
    </w:lvl>
    <w:lvl w:ilvl="5">
      <w:start w:val="0"/>
      <w:numFmt w:val="bullet"/>
      <w:lvlText w:val="•"/>
      <w:lvlJc w:val="left"/>
      <w:pPr>
        <w:ind w:left="1700" w:hanging="360"/>
      </w:pPr>
      <w:rPr>
        <w:rFonts w:hint="default"/>
        <w:lang w:val="en-gb" w:eastAsia="en-gb" w:bidi="en-gb"/>
      </w:rPr>
    </w:lvl>
    <w:lvl w:ilvl="6">
      <w:start w:val="0"/>
      <w:numFmt w:val="bullet"/>
      <w:lvlText w:val="•"/>
      <w:lvlJc w:val="left"/>
      <w:pPr>
        <w:ind w:left="1948" w:hanging="360"/>
      </w:pPr>
      <w:rPr>
        <w:rFonts w:hint="default"/>
        <w:lang w:val="en-gb" w:eastAsia="en-gb" w:bidi="en-gb"/>
      </w:rPr>
    </w:lvl>
    <w:lvl w:ilvl="7">
      <w:start w:val="0"/>
      <w:numFmt w:val="bullet"/>
      <w:lvlText w:val="•"/>
      <w:lvlJc w:val="left"/>
      <w:pPr>
        <w:ind w:left="2197" w:hanging="360"/>
      </w:pPr>
      <w:rPr>
        <w:rFonts w:hint="default"/>
        <w:lang w:val="en-gb" w:eastAsia="en-gb" w:bidi="en-gb"/>
      </w:rPr>
    </w:lvl>
    <w:lvl w:ilvl="8">
      <w:start w:val="0"/>
      <w:numFmt w:val="bullet"/>
      <w:lvlText w:val="•"/>
      <w:lvlJc w:val="left"/>
      <w:pPr>
        <w:ind w:left="2445" w:hanging="360"/>
      </w:pPr>
      <w:rPr>
        <w:rFonts w:hint="default"/>
        <w:lang w:val="en-gb" w:eastAsia="en-gb" w:bidi="en-gb"/>
      </w:rPr>
    </w:lvl>
  </w:abstractNum>
  <w:abstractNum w:abstractNumId="8">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7" w:hanging="360"/>
      </w:pPr>
      <w:rPr>
        <w:rFonts w:hint="default"/>
        <w:lang w:val="en-gb" w:eastAsia="en-gb" w:bidi="en-gb"/>
      </w:rPr>
    </w:lvl>
    <w:lvl w:ilvl="2">
      <w:start w:val="0"/>
      <w:numFmt w:val="bullet"/>
      <w:lvlText w:val="•"/>
      <w:lvlJc w:val="left"/>
      <w:pPr>
        <w:ind w:left="954" w:hanging="360"/>
      </w:pPr>
      <w:rPr>
        <w:rFonts w:hint="default"/>
        <w:lang w:val="en-gb" w:eastAsia="en-gb" w:bidi="en-gb"/>
      </w:rPr>
    </w:lvl>
    <w:lvl w:ilvl="3">
      <w:start w:val="0"/>
      <w:numFmt w:val="bullet"/>
      <w:lvlText w:val="•"/>
      <w:lvlJc w:val="left"/>
      <w:pPr>
        <w:ind w:left="1201" w:hanging="360"/>
      </w:pPr>
      <w:rPr>
        <w:rFonts w:hint="default"/>
        <w:lang w:val="en-gb" w:eastAsia="en-gb" w:bidi="en-gb"/>
      </w:rPr>
    </w:lvl>
    <w:lvl w:ilvl="4">
      <w:start w:val="0"/>
      <w:numFmt w:val="bullet"/>
      <w:lvlText w:val="•"/>
      <w:lvlJc w:val="left"/>
      <w:pPr>
        <w:ind w:left="1449" w:hanging="360"/>
      </w:pPr>
      <w:rPr>
        <w:rFonts w:hint="default"/>
        <w:lang w:val="en-gb" w:eastAsia="en-gb" w:bidi="en-gb"/>
      </w:rPr>
    </w:lvl>
    <w:lvl w:ilvl="5">
      <w:start w:val="0"/>
      <w:numFmt w:val="bullet"/>
      <w:lvlText w:val="•"/>
      <w:lvlJc w:val="left"/>
      <w:pPr>
        <w:ind w:left="1696" w:hanging="360"/>
      </w:pPr>
      <w:rPr>
        <w:rFonts w:hint="default"/>
        <w:lang w:val="en-gb" w:eastAsia="en-gb" w:bidi="en-gb"/>
      </w:rPr>
    </w:lvl>
    <w:lvl w:ilvl="6">
      <w:start w:val="0"/>
      <w:numFmt w:val="bullet"/>
      <w:lvlText w:val="•"/>
      <w:lvlJc w:val="left"/>
      <w:pPr>
        <w:ind w:left="1943" w:hanging="360"/>
      </w:pPr>
      <w:rPr>
        <w:rFonts w:hint="default"/>
        <w:lang w:val="en-gb" w:eastAsia="en-gb" w:bidi="en-gb"/>
      </w:rPr>
    </w:lvl>
    <w:lvl w:ilvl="7">
      <w:start w:val="0"/>
      <w:numFmt w:val="bullet"/>
      <w:lvlText w:val="•"/>
      <w:lvlJc w:val="left"/>
      <w:pPr>
        <w:ind w:left="2191" w:hanging="360"/>
      </w:pPr>
      <w:rPr>
        <w:rFonts w:hint="default"/>
        <w:lang w:val="en-gb" w:eastAsia="en-gb" w:bidi="en-gb"/>
      </w:rPr>
    </w:lvl>
    <w:lvl w:ilvl="8">
      <w:start w:val="0"/>
      <w:numFmt w:val="bullet"/>
      <w:lvlText w:val="•"/>
      <w:lvlJc w:val="left"/>
      <w:pPr>
        <w:ind w:left="2438" w:hanging="360"/>
      </w:pPr>
      <w:rPr>
        <w:rFonts w:hint="default"/>
        <w:lang w:val="en-gb" w:eastAsia="en-gb" w:bidi="en-gb"/>
      </w:rPr>
    </w:lvl>
  </w:abstractNum>
  <w:abstractNum w:abstractNumId="7">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8" w:hanging="360"/>
      </w:pPr>
      <w:rPr>
        <w:rFonts w:hint="default"/>
        <w:lang w:val="en-gb" w:eastAsia="en-gb" w:bidi="en-gb"/>
      </w:rPr>
    </w:lvl>
    <w:lvl w:ilvl="2">
      <w:start w:val="0"/>
      <w:numFmt w:val="bullet"/>
      <w:lvlText w:val="•"/>
      <w:lvlJc w:val="left"/>
      <w:pPr>
        <w:ind w:left="956" w:hanging="360"/>
      </w:pPr>
      <w:rPr>
        <w:rFonts w:hint="default"/>
        <w:lang w:val="en-gb" w:eastAsia="en-gb" w:bidi="en-gb"/>
      </w:rPr>
    </w:lvl>
    <w:lvl w:ilvl="3">
      <w:start w:val="0"/>
      <w:numFmt w:val="bullet"/>
      <w:lvlText w:val="•"/>
      <w:lvlJc w:val="left"/>
      <w:pPr>
        <w:ind w:left="1204" w:hanging="360"/>
      </w:pPr>
      <w:rPr>
        <w:rFonts w:hint="default"/>
        <w:lang w:val="en-gb" w:eastAsia="en-gb" w:bidi="en-gb"/>
      </w:rPr>
    </w:lvl>
    <w:lvl w:ilvl="4">
      <w:start w:val="0"/>
      <w:numFmt w:val="bullet"/>
      <w:lvlText w:val="•"/>
      <w:lvlJc w:val="left"/>
      <w:pPr>
        <w:ind w:left="1452" w:hanging="360"/>
      </w:pPr>
      <w:rPr>
        <w:rFonts w:hint="default"/>
        <w:lang w:val="en-gb" w:eastAsia="en-gb" w:bidi="en-gb"/>
      </w:rPr>
    </w:lvl>
    <w:lvl w:ilvl="5">
      <w:start w:val="0"/>
      <w:numFmt w:val="bullet"/>
      <w:lvlText w:val="•"/>
      <w:lvlJc w:val="left"/>
      <w:pPr>
        <w:ind w:left="1700" w:hanging="360"/>
      </w:pPr>
      <w:rPr>
        <w:rFonts w:hint="default"/>
        <w:lang w:val="en-gb" w:eastAsia="en-gb" w:bidi="en-gb"/>
      </w:rPr>
    </w:lvl>
    <w:lvl w:ilvl="6">
      <w:start w:val="0"/>
      <w:numFmt w:val="bullet"/>
      <w:lvlText w:val="•"/>
      <w:lvlJc w:val="left"/>
      <w:pPr>
        <w:ind w:left="1948" w:hanging="360"/>
      </w:pPr>
      <w:rPr>
        <w:rFonts w:hint="default"/>
        <w:lang w:val="en-gb" w:eastAsia="en-gb" w:bidi="en-gb"/>
      </w:rPr>
    </w:lvl>
    <w:lvl w:ilvl="7">
      <w:start w:val="0"/>
      <w:numFmt w:val="bullet"/>
      <w:lvlText w:val="•"/>
      <w:lvlJc w:val="left"/>
      <w:pPr>
        <w:ind w:left="2197" w:hanging="360"/>
      </w:pPr>
      <w:rPr>
        <w:rFonts w:hint="default"/>
        <w:lang w:val="en-gb" w:eastAsia="en-gb" w:bidi="en-gb"/>
      </w:rPr>
    </w:lvl>
    <w:lvl w:ilvl="8">
      <w:start w:val="0"/>
      <w:numFmt w:val="bullet"/>
      <w:lvlText w:val="•"/>
      <w:lvlJc w:val="left"/>
      <w:pPr>
        <w:ind w:left="2445" w:hanging="360"/>
      </w:pPr>
      <w:rPr>
        <w:rFonts w:hint="default"/>
        <w:lang w:val="en-gb" w:eastAsia="en-gb" w:bidi="en-gb"/>
      </w:rPr>
    </w:lvl>
  </w:abstractNum>
  <w:abstractNum w:abstractNumId="6">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7" w:hanging="360"/>
      </w:pPr>
      <w:rPr>
        <w:rFonts w:hint="default"/>
        <w:lang w:val="en-gb" w:eastAsia="en-gb" w:bidi="en-gb"/>
      </w:rPr>
    </w:lvl>
    <w:lvl w:ilvl="2">
      <w:start w:val="0"/>
      <w:numFmt w:val="bullet"/>
      <w:lvlText w:val="•"/>
      <w:lvlJc w:val="left"/>
      <w:pPr>
        <w:ind w:left="954" w:hanging="360"/>
      </w:pPr>
      <w:rPr>
        <w:rFonts w:hint="default"/>
        <w:lang w:val="en-gb" w:eastAsia="en-gb" w:bidi="en-gb"/>
      </w:rPr>
    </w:lvl>
    <w:lvl w:ilvl="3">
      <w:start w:val="0"/>
      <w:numFmt w:val="bullet"/>
      <w:lvlText w:val="•"/>
      <w:lvlJc w:val="left"/>
      <w:pPr>
        <w:ind w:left="1201" w:hanging="360"/>
      </w:pPr>
      <w:rPr>
        <w:rFonts w:hint="default"/>
        <w:lang w:val="en-gb" w:eastAsia="en-gb" w:bidi="en-gb"/>
      </w:rPr>
    </w:lvl>
    <w:lvl w:ilvl="4">
      <w:start w:val="0"/>
      <w:numFmt w:val="bullet"/>
      <w:lvlText w:val="•"/>
      <w:lvlJc w:val="left"/>
      <w:pPr>
        <w:ind w:left="1449" w:hanging="360"/>
      </w:pPr>
      <w:rPr>
        <w:rFonts w:hint="default"/>
        <w:lang w:val="en-gb" w:eastAsia="en-gb" w:bidi="en-gb"/>
      </w:rPr>
    </w:lvl>
    <w:lvl w:ilvl="5">
      <w:start w:val="0"/>
      <w:numFmt w:val="bullet"/>
      <w:lvlText w:val="•"/>
      <w:lvlJc w:val="left"/>
      <w:pPr>
        <w:ind w:left="1696" w:hanging="360"/>
      </w:pPr>
      <w:rPr>
        <w:rFonts w:hint="default"/>
        <w:lang w:val="en-gb" w:eastAsia="en-gb" w:bidi="en-gb"/>
      </w:rPr>
    </w:lvl>
    <w:lvl w:ilvl="6">
      <w:start w:val="0"/>
      <w:numFmt w:val="bullet"/>
      <w:lvlText w:val="•"/>
      <w:lvlJc w:val="left"/>
      <w:pPr>
        <w:ind w:left="1943" w:hanging="360"/>
      </w:pPr>
      <w:rPr>
        <w:rFonts w:hint="default"/>
        <w:lang w:val="en-gb" w:eastAsia="en-gb" w:bidi="en-gb"/>
      </w:rPr>
    </w:lvl>
    <w:lvl w:ilvl="7">
      <w:start w:val="0"/>
      <w:numFmt w:val="bullet"/>
      <w:lvlText w:val="•"/>
      <w:lvlJc w:val="left"/>
      <w:pPr>
        <w:ind w:left="2191" w:hanging="360"/>
      </w:pPr>
      <w:rPr>
        <w:rFonts w:hint="default"/>
        <w:lang w:val="en-gb" w:eastAsia="en-gb" w:bidi="en-gb"/>
      </w:rPr>
    </w:lvl>
    <w:lvl w:ilvl="8">
      <w:start w:val="0"/>
      <w:numFmt w:val="bullet"/>
      <w:lvlText w:val="•"/>
      <w:lvlJc w:val="left"/>
      <w:pPr>
        <w:ind w:left="2438" w:hanging="360"/>
      </w:pPr>
      <w:rPr>
        <w:rFonts w:hint="default"/>
        <w:lang w:val="en-gb" w:eastAsia="en-gb" w:bidi="en-gb"/>
      </w:rPr>
    </w:lvl>
  </w:abstractNum>
  <w:abstractNum w:abstractNumId="5">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8" w:hanging="360"/>
      </w:pPr>
      <w:rPr>
        <w:rFonts w:hint="default"/>
        <w:lang w:val="en-gb" w:eastAsia="en-gb" w:bidi="en-gb"/>
      </w:rPr>
    </w:lvl>
    <w:lvl w:ilvl="2">
      <w:start w:val="0"/>
      <w:numFmt w:val="bullet"/>
      <w:lvlText w:val="•"/>
      <w:lvlJc w:val="left"/>
      <w:pPr>
        <w:ind w:left="956" w:hanging="360"/>
      </w:pPr>
      <w:rPr>
        <w:rFonts w:hint="default"/>
        <w:lang w:val="en-gb" w:eastAsia="en-gb" w:bidi="en-gb"/>
      </w:rPr>
    </w:lvl>
    <w:lvl w:ilvl="3">
      <w:start w:val="0"/>
      <w:numFmt w:val="bullet"/>
      <w:lvlText w:val="•"/>
      <w:lvlJc w:val="left"/>
      <w:pPr>
        <w:ind w:left="1204" w:hanging="360"/>
      </w:pPr>
      <w:rPr>
        <w:rFonts w:hint="default"/>
        <w:lang w:val="en-gb" w:eastAsia="en-gb" w:bidi="en-gb"/>
      </w:rPr>
    </w:lvl>
    <w:lvl w:ilvl="4">
      <w:start w:val="0"/>
      <w:numFmt w:val="bullet"/>
      <w:lvlText w:val="•"/>
      <w:lvlJc w:val="left"/>
      <w:pPr>
        <w:ind w:left="1452" w:hanging="360"/>
      </w:pPr>
      <w:rPr>
        <w:rFonts w:hint="default"/>
        <w:lang w:val="en-gb" w:eastAsia="en-gb" w:bidi="en-gb"/>
      </w:rPr>
    </w:lvl>
    <w:lvl w:ilvl="5">
      <w:start w:val="0"/>
      <w:numFmt w:val="bullet"/>
      <w:lvlText w:val="•"/>
      <w:lvlJc w:val="left"/>
      <w:pPr>
        <w:ind w:left="1700" w:hanging="360"/>
      </w:pPr>
      <w:rPr>
        <w:rFonts w:hint="default"/>
        <w:lang w:val="en-gb" w:eastAsia="en-gb" w:bidi="en-gb"/>
      </w:rPr>
    </w:lvl>
    <w:lvl w:ilvl="6">
      <w:start w:val="0"/>
      <w:numFmt w:val="bullet"/>
      <w:lvlText w:val="•"/>
      <w:lvlJc w:val="left"/>
      <w:pPr>
        <w:ind w:left="1948" w:hanging="360"/>
      </w:pPr>
      <w:rPr>
        <w:rFonts w:hint="default"/>
        <w:lang w:val="en-gb" w:eastAsia="en-gb" w:bidi="en-gb"/>
      </w:rPr>
    </w:lvl>
    <w:lvl w:ilvl="7">
      <w:start w:val="0"/>
      <w:numFmt w:val="bullet"/>
      <w:lvlText w:val="•"/>
      <w:lvlJc w:val="left"/>
      <w:pPr>
        <w:ind w:left="2197" w:hanging="360"/>
      </w:pPr>
      <w:rPr>
        <w:rFonts w:hint="default"/>
        <w:lang w:val="en-gb" w:eastAsia="en-gb" w:bidi="en-gb"/>
      </w:rPr>
    </w:lvl>
    <w:lvl w:ilvl="8">
      <w:start w:val="0"/>
      <w:numFmt w:val="bullet"/>
      <w:lvlText w:val="•"/>
      <w:lvlJc w:val="left"/>
      <w:pPr>
        <w:ind w:left="2445" w:hanging="360"/>
      </w:pPr>
      <w:rPr>
        <w:rFonts w:hint="default"/>
        <w:lang w:val="en-gb" w:eastAsia="en-gb" w:bidi="en-gb"/>
      </w:rPr>
    </w:lvl>
  </w:abstractNum>
  <w:abstractNum w:abstractNumId="4">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7" w:hanging="360"/>
      </w:pPr>
      <w:rPr>
        <w:rFonts w:hint="default"/>
        <w:lang w:val="en-gb" w:eastAsia="en-gb" w:bidi="en-gb"/>
      </w:rPr>
    </w:lvl>
    <w:lvl w:ilvl="2">
      <w:start w:val="0"/>
      <w:numFmt w:val="bullet"/>
      <w:lvlText w:val="•"/>
      <w:lvlJc w:val="left"/>
      <w:pPr>
        <w:ind w:left="954" w:hanging="360"/>
      </w:pPr>
      <w:rPr>
        <w:rFonts w:hint="default"/>
        <w:lang w:val="en-gb" w:eastAsia="en-gb" w:bidi="en-gb"/>
      </w:rPr>
    </w:lvl>
    <w:lvl w:ilvl="3">
      <w:start w:val="0"/>
      <w:numFmt w:val="bullet"/>
      <w:lvlText w:val="•"/>
      <w:lvlJc w:val="left"/>
      <w:pPr>
        <w:ind w:left="1202" w:hanging="360"/>
      </w:pPr>
      <w:rPr>
        <w:rFonts w:hint="default"/>
        <w:lang w:val="en-gb" w:eastAsia="en-gb" w:bidi="en-gb"/>
      </w:rPr>
    </w:lvl>
    <w:lvl w:ilvl="4">
      <w:start w:val="0"/>
      <w:numFmt w:val="bullet"/>
      <w:lvlText w:val="•"/>
      <w:lvlJc w:val="left"/>
      <w:pPr>
        <w:ind w:left="1449" w:hanging="360"/>
      </w:pPr>
      <w:rPr>
        <w:rFonts w:hint="default"/>
        <w:lang w:val="en-gb" w:eastAsia="en-gb" w:bidi="en-gb"/>
      </w:rPr>
    </w:lvl>
    <w:lvl w:ilvl="5">
      <w:start w:val="0"/>
      <w:numFmt w:val="bullet"/>
      <w:lvlText w:val="•"/>
      <w:lvlJc w:val="left"/>
      <w:pPr>
        <w:ind w:left="1697" w:hanging="360"/>
      </w:pPr>
      <w:rPr>
        <w:rFonts w:hint="default"/>
        <w:lang w:val="en-gb" w:eastAsia="en-gb" w:bidi="en-gb"/>
      </w:rPr>
    </w:lvl>
    <w:lvl w:ilvl="6">
      <w:start w:val="0"/>
      <w:numFmt w:val="bullet"/>
      <w:lvlText w:val="•"/>
      <w:lvlJc w:val="left"/>
      <w:pPr>
        <w:ind w:left="1944" w:hanging="360"/>
      </w:pPr>
      <w:rPr>
        <w:rFonts w:hint="default"/>
        <w:lang w:val="en-gb" w:eastAsia="en-gb" w:bidi="en-gb"/>
      </w:rPr>
    </w:lvl>
    <w:lvl w:ilvl="7">
      <w:start w:val="0"/>
      <w:numFmt w:val="bullet"/>
      <w:lvlText w:val="•"/>
      <w:lvlJc w:val="left"/>
      <w:pPr>
        <w:ind w:left="2191" w:hanging="360"/>
      </w:pPr>
      <w:rPr>
        <w:rFonts w:hint="default"/>
        <w:lang w:val="en-gb" w:eastAsia="en-gb" w:bidi="en-gb"/>
      </w:rPr>
    </w:lvl>
    <w:lvl w:ilvl="8">
      <w:start w:val="0"/>
      <w:numFmt w:val="bullet"/>
      <w:lvlText w:val="•"/>
      <w:lvlJc w:val="left"/>
      <w:pPr>
        <w:ind w:left="2439" w:hanging="360"/>
      </w:pPr>
      <w:rPr>
        <w:rFonts w:hint="default"/>
        <w:lang w:val="en-gb" w:eastAsia="en-gb" w:bidi="en-gb"/>
      </w:rPr>
    </w:lvl>
  </w:abstractNum>
  <w:abstractNum w:abstractNumId="3">
    <w:multiLevelType w:val="hybridMultilevel"/>
    <w:lvl w:ilvl="0">
      <w:start w:val="0"/>
      <w:numFmt w:val="bullet"/>
      <w:lvlText w:val=""/>
      <w:lvlJc w:val="left"/>
      <w:pPr>
        <w:ind w:left="461" w:hanging="360"/>
      </w:pPr>
      <w:rPr>
        <w:rFonts w:hint="default" w:ascii="Symbol" w:hAnsi="Symbol" w:eastAsia="Symbol" w:cs="Symbol"/>
        <w:w w:val="100"/>
        <w:sz w:val="24"/>
        <w:szCs w:val="24"/>
        <w:lang w:val="en-gb" w:eastAsia="en-gb" w:bidi="en-gb"/>
      </w:rPr>
    </w:lvl>
    <w:lvl w:ilvl="1">
      <w:start w:val="0"/>
      <w:numFmt w:val="bullet"/>
      <w:lvlText w:val="•"/>
      <w:lvlJc w:val="left"/>
      <w:pPr>
        <w:ind w:left="707" w:hanging="360"/>
      </w:pPr>
      <w:rPr>
        <w:rFonts w:hint="default"/>
        <w:lang w:val="en-gb" w:eastAsia="en-gb" w:bidi="en-gb"/>
      </w:rPr>
    </w:lvl>
    <w:lvl w:ilvl="2">
      <w:start w:val="0"/>
      <w:numFmt w:val="bullet"/>
      <w:lvlText w:val="•"/>
      <w:lvlJc w:val="left"/>
      <w:pPr>
        <w:ind w:left="954" w:hanging="360"/>
      </w:pPr>
      <w:rPr>
        <w:rFonts w:hint="default"/>
        <w:lang w:val="en-gb" w:eastAsia="en-gb" w:bidi="en-gb"/>
      </w:rPr>
    </w:lvl>
    <w:lvl w:ilvl="3">
      <w:start w:val="0"/>
      <w:numFmt w:val="bullet"/>
      <w:lvlText w:val="•"/>
      <w:lvlJc w:val="left"/>
      <w:pPr>
        <w:ind w:left="1201" w:hanging="360"/>
      </w:pPr>
      <w:rPr>
        <w:rFonts w:hint="default"/>
        <w:lang w:val="en-gb" w:eastAsia="en-gb" w:bidi="en-gb"/>
      </w:rPr>
    </w:lvl>
    <w:lvl w:ilvl="4">
      <w:start w:val="0"/>
      <w:numFmt w:val="bullet"/>
      <w:lvlText w:val="•"/>
      <w:lvlJc w:val="left"/>
      <w:pPr>
        <w:ind w:left="1449" w:hanging="360"/>
      </w:pPr>
      <w:rPr>
        <w:rFonts w:hint="default"/>
        <w:lang w:val="en-gb" w:eastAsia="en-gb" w:bidi="en-gb"/>
      </w:rPr>
    </w:lvl>
    <w:lvl w:ilvl="5">
      <w:start w:val="0"/>
      <w:numFmt w:val="bullet"/>
      <w:lvlText w:val="•"/>
      <w:lvlJc w:val="left"/>
      <w:pPr>
        <w:ind w:left="1696" w:hanging="360"/>
      </w:pPr>
      <w:rPr>
        <w:rFonts w:hint="default"/>
        <w:lang w:val="en-gb" w:eastAsia="en-gb" w:bidi="en-gb"/>
      </w:rPr>
    </w:lvl>
    <w:lvl w:ilvl="6">
      <w:start w:val="0"/>
      <w:numFmt w:val="bullet"/>
      <w:lvlText w:val="•"/>
      <w:lvlJc w:val="left"/>
      <w:pPr>
        <w:ind w:left="1943" w:hanging="360"/>
      </w:pPr>
      <w:rPr>
        <w:rFonts w:hint="default"/>
        <w:lang w:val="en-gb" w:eastAsia="en-gb" w:bidi="en-gb"/>
      </w:rPr>
    </w:lvl>
    <w:lvl w:ilvl="7">
      <w:start w:val="0"/>
      <w:numFmt w:val="bullet"/>
      <w:lvlText w:val="•"/>
      <w:lvlJc w:val="left"/>
      <w:pPr>
        <w:ind w:left="2191" w:hanging="360"/>
      </w:pPr>
      <w:rPr>
        <w:rFonts w:hint="default"/>
        <w:lang w:val="en-gb" w:eastAsia="en-gb" w:bidi="en-gb"/>
      </w:rPr>
    </w:lvl>
    <w:lvl w:ilvl="8">
      <w:start w:val="0"/>
      <w:numFmt w:val="bullet"/>
      <w:lvlText w:val="•"/>
      <w:lvlJc w:val="left"/>
      <w:pPr>
        <w:ind w:left="2438" w:hanging="360"/>
      </w:pPr>
      <w:rPr>
        <w:rFonts w:hint="default"/>
        <w:lang w:val="en-gb" w:eastAsia="en-gb" w:bidi="en-gb"/>
      </w:rPr>
    </w:lvl>
  </w:abstractNum>
  <w:abstractNum w:abstractNumId="2">
    <w:multiLevelType w:val="hybridMultilevel"/>
    <w:lvl w:ilvl="0">
      <w:start w:val="1"/>
      <w:numFmt w:val="decimal"/>
      <w:lvlText w:val="%1."/>
      <w:lvlJc w:val="left"/>
      <w:pPr>
        <w:ind w:left="960" w:hanging="360"/>
        <w:jc w:val="left"/>
      </w:pPr>
      <w:rPr>
        <w:rFonts w:hint="default" w:ascii="Arial" w:hAnsi="Arial" w:eastAsia="Arial" w:cs="Arial"/>
        <w:spacing w:val="-2"/>
        <w:w w:val="100"/>
        <w:sz w:val="24"/>
        <w:szCs w:val="24"/>
        <w:lang w:val="en-gb" w:eastAsia="en-gb" w:bidi="en-gb"/>
      </w:rPr>
    </w:lvl>
    <w:lvl w:ilvl="1">
      <w:start w:val="0"/>
      <w:numFmt w:val="bullet"/>
      <w:lvlText w:val="o"/>
      <w:lvlJc w:val="left"/>
      <w:pPr>
        <w:ind w:left="1680" w:hanging="360"/>
      </w:pPr>
      <w:rPr>
        <w:rFonts w:hint="default" w:ascii="Courier New" w:hAnsi="Courier New" w:eastAsia="Courier New" w:cs="Courier New"/>
        <w:w w:val="100"/>
        <w:sz w:val="24"/>
        <w:szCs w:val="24"/>
        <w:lang w:val="en-gb" w:eastAsia="en-gb" w:bidi="en-gb"/>
      </w:rPr>
    </w:lvl>
    <w:lvl w:ilvl="2">
      <w:start w:val="0"/>
      <w:numFmt w:val="bullet"/>
      <w:lvlText w:val="•"/>
      <w:lvlJc w:val="left"/>
      <w:pPr>
        <w:ind w:left="2549" w:hanging="360"/>
      </w:pPr>
      <w:rPr>
        <w:rFonts w:hint="default"/>
        <w:lang w:val="en-gb" w:eastAsia="en-gb" w:bidi="en-gb"/>
      </w:rPr>
    </w:lvl>
    <w:lvl w:ilvl="3">
      <w:start w:val="0"/>
      <w:numFmt w:val="bullet"/>
      <w:lvlText w:val="•"/>
      <w:lvlJc w:val="left"/>
      <w:pPr>
        <w:ind w:left="3419" w:hanging="360"/>
      </w:pPr>
      <w:rPr>
        <w:rFonts w:hint="default"/>
        <w:lang w:val="en-gb" w:eastAsia="en-gb" w:bidi="en-gb"/>
      </w:rPr>
    </w:lvl>
    <w:lvl w:ilvl="4">
      <w:start w:val="0"/>
      <w:numFmt w:val="bullet"/>
      <w:lvlText w:val="•"/>
      <w:lvlJc w:val="left"/>
      <w:pPr>
        <w:ind w:left="4288" w:hanging="360"/>
      </w:pPr>
      <w:rPr>
        <w:rFonts w:hint="default"/>
        <w:lang w:val="en-gb" w:eastAsia="en-gb" w:bidi="en-gb"/>
      </w:rPr>
    </w:lvl>
    <w:lvl w:ilvl="5">
      <w:start w:val="0"/>
      <w:numFmt w:val="bullet"/>
      <w:lvlText w:val="•"/>
      <w:lvlJc w:val="left"/>
      <w:pPr>
        <w:ind w:left="5158" w:hanging="360"/>
      </w:pPr>
      <w:rPr>
        <w:rFonts w:hint="default"/>
        <w:lang w:val="en-gb" w:eastAsia="en-gb" w:bidi="en-gb"/>
      </w:rPr>
    </w:lvl>
    <w:lvl w:ilvl="6">
      <w:start w:val="0"/>
      <w:numFmt w:val="bullet"/>
      <w:lvlText w:val="•"/>
      <w:lvlJc w:val="left"/>
      <w:pPr>
        <w:ind w:left="6028" w:hanging="360"/>
      </w:pPr>
      <w:rPr>
        <w:rFonts w:hint="default"/>
        <w:lang w:val="en-gb" w:eastAsia="en-gb" w:bidi="en-gb"/>
      </w:rPr>
    </w:lvl>
    <w:lvl w:ilvl="7">
      <w:start w:val="0"/>
      <w:numFmt w:val="bullet"/>
      <w:lvlText w:val="•"/>
      <w:lvlJc w:val="left"/>
      <w:pPr>
        <w:ind w:left="6897" w:hanging="360"/>
      </w:pPr>
      <w:rPr>
        <w:rFonts w:hint="default"/>
        <w:lang w:val="en-gb" w:eastAsia="en-gb" w:bidi="en-gb"/>
      </w:rPr>
    </w:lvl>
    <w:lvl w:ilvl="8">
      <w:start w:val="0"/>
      <w:numFmt w:val="bullet"/>
      <w:lvlText w:val="•"/>
      <w:lvlJc w:val="left"/>
      <w:pPr>
        <w:ind w:left="7767" w:hanging="360"/>
      </w:pPr>
      <w:rPr>
        <w:rFonts w:hint="default"/>
        <w:lang w:val="en-gb" w:eastAsia="en-gb" w:bidi="en-gb"/>
      </w:rPr>
    </w:lvl>
  </w:abstractNum>
  <w:abstractNum w:abstractNumId="1">
    <w:multiLevelType w:val="hybridMultilevel"/>
    <w:lvl w:ilvl="0">
      <w:start w:val="0"/>
      <w:numFmt w:val="bullet"/>
      <w:lvlText w:val=""/>
      <w:lvlJc w:val="left"/>
      <w:pPr>
        <w:ind w:left="666" w:hanging="360"/>
      </w:pPr>
      <w:rPr>
        <w:rFonts w:hint="default" w:ascii="Symbol" w:hAnsi="Symbol" w:eastAsia="Symbol" w:cs="Symbol"/>
        <w:color w:val="EC7C30"/>
        <w:w w:val="100"/>
        <w:sz w:val="24"/>
        <w:szCs w:val="24"/>
        <w:lang w:val="en-gb" w:eastAsia="en-gb" w:bidi="en-gb"/>
      </w:rPr>
    </w:lvl>
    <w:lvl w:ilvl="1">
      <w:start w:val="0"/>
      <w:numFmt w:val="bullet"/>
      <w:lvlText w:val=""/>
      <w:lvlJc w:val="left"/>
      <w:pPr>
        <w:ind w:left="960" w:hanging="360"/>
      </w:pPr>
      <w:rPr>
        <w:rFonts w:hint="default" w:ascii="Symbol" w:hAnsi="Symbol" w:eastAsia="Symbol" w:cs="Symbol"/>
        <w:w w:val="100"/>
        <w:sz w:val="20"/>
        <w:szCs w:val="20"/>
        <w:lang w:val="en-gb" w:eastAsia="en-gb" w:bidi="en-gb"/>
      </w:rPr>
    </w:lvl>
    <w:lvl w:ilvl="2">
      <w:start w:val="0"/>
      <w:numFmt w:val="bullet"/>
      <w:lvlText w:val="•"/>
      <w:lvlJc w:val="left"/>
      <w:pPr>
        <w:ind w:left="1909" w:hanging="360"/>
      </w:pPr>
      <w:rPr>
        <w:rFonts w:hint="default"/>
        <w:lang w:val="en-gb" w:eastAsia="en-gb" w:bidi="en-gb"/>
      </w:rPr>
    </w:lvl>
    <w:lvl w:ilvl="3">
      <w:start w:val="0"/>
      <w:numFmt w:val="bullet"/>
      <w:lvlText w:val="•"/>
      <w:lvlJc w:val="left"/>
      <w:pPr>
        <w:ind w:left="2859" w:hanging="360"/>
      </w:pPr>
      <w:rPr>
        <w:rFonts w:hint="default"/>
        <w:lang w:val="en-gb" w:eastAsia="en-gb" w:bidi="en-gb"/>
      </w:rPr>
    </w:lvl>
    <w:lvl w:ilvl="4">
      <w:start w:val="0"/>
      <w:numFmt w:val="bullet"/>
      <w:lvlText w:val="•"/>
      <w:lvlJc w:val="left"/>
      <w:pPr>
        <w:ind w:left="3808" w:hanging="360"/>
      </w:pPr>
      <w:rPr>
        <w:rFonts w:hint="default"/>
        <w:lang w:val="en-gb" w:eastAsia="en-gb" w:bidi="en-gb"/>
      </w:rPr>
    </w:lvl>
    <w:lvl w:ilvl="5">
      <w:start w:val="0"/>
      <w:numFmt w:val="bullet"/>
      <w:lvlText w:val="•"/>
      <w:lvlJc w:val="left"/>
      <w:pPr>
        <w:ind w:left="4758" w:hanging="360"/>
      </w:pPr>
      <w:rPr>
        <w:rFonts w:hint="default"/>
        <w:lang w:val="en-gb" w:eastAsia="en-gb" w:bidi="en-gb"/>
      </w:rPr>
    </w:lvl>
    <w:lvl w:ilvl="6">
      <w:start w:val="0"/>
      <w:numFmt w:val="bullet"/>
      <w:lvlText w:val="•"/>
      <w:lvlJc w:val="left"/>
      <w:pPr>
        <w:ind w:left="5708" w:hanging="360"/>
      </w:pPr>
      <w:rPr>
        <w:rFonts w:hint="default"/>
        <w:lang w:val="en-gb" w:eastAsia="en-gb" w:bidi="en-gb"/>
      </w:rPr>
    </w:lvl>
    <w:lvl w:ilvl="7">
      <w:start w:val="0"/>
      <w:numFmt w:val="bullet"/>
      <w:lvlText w:val="•"/>
      <w:lvlJc w:val="left"/>
      <w:pPr>
        <w:ind w:left="6657" w:hanging="360"/>
      </w:pPr>
      <w:rPr>
        <w:rFonts w:hint="default"/>
        <w:lang w:val="en-gb" w:eastAsia="en-gb" w:bidi="en-gb"/>
      </w:rPr>
    </w:lvl>
    <w:lvl w:ilvl="8">
      <w:start w:val="0"/>
      <w:numFmt w:val="bullet"/>
      <w:lvlText w:val="•"/>
      <w:lvlJc w:val="left"/>
      <w:pPr>
        <w:ind w:left="7607" w:hanging="360"/>
      </w:pPr>
      <w:rPr>
        <w:rFonts w:hint="default"/>
        <w:lang w:val="en-gb" w:eastAsia="en-gb" w:bidi="en-gb"/>
      </w:rPr>
    </w:lvl>
  </w:abstractNum>
  <w:abstractNum w:abstractNumId="0">
    <w:multiLevelType w:val="hybridMultilevel"/>
    <w:lvl w:ilvl="0">
      <w:start w:val="0"/>
      <w:numFmt w:val="bullet"/>
      <w:lvlText w:val=""/>
      <w:lvlJc w:val="left"/>
      <w:pPr>
        <w:ind w:left="960" w:hanging="360"/>
      </w:pPr>
      <w:rPr>
        <w:rFonts w:hint="default" w:ascii="Symbol" w:hAnsi="Symbol" w:eastAsia="Symbol" w:cs="Symbol"/>
        <w:color w:val="EC7C30"/>
        <w:w w:val="100"/>
        <w:sz w:val="24"/>
        <w:szCs w:val="24"/>
        <w:lang w:val="en-gb" w:eastAsia="en-gb" w:bidi="en-gb"/>
      </w:rPr>
    </w:lvl>
    <w:lvl w:ilvl="1">
      <w:start w:val="0"/>
      <w:numFmt w:val="bullet"/>
      <w:lvlText w:val="•"/>
      <w:lvlJc w:val="left"/>
      <w:pPr>
        <w:ind w:left="1814" w:hanging="360"/>
      </w:pPr>
      <w:rPr>
        <w:rFonts w:hint="default"/>
        <w:lang w:val="en-gb" w:eastAsia="en-gb" w:bidi="en-gb"/>
      </w:rPr>
    </w:lvl>
    <w:lvl w:ilvl="2">
      <w:start w:val="0"/>
      <w:numFmt w:val="bullet"/>
      <w:lvlText w:val="•"/>
      <w:lvlJc w:val="left"/>
      <w:pPr>
        <w:ind w:left="2669" w:hanging="360"/>
      </w:pPr>
      <w:rPr>
        <w:rFonts w:hint="default"/>
        <w:lang w:val="en-gb" w:eastAsia="en-gb" w:bidi="en-gb"/>
      </w:rPr>
    </w:lvl>
    <w:lvl w:ilvl="3">
      <w:start w:val="0"/>
      <w:numFmt w:val="bullet"/>
      <w:lvlText w:val="•"/>
      <w:lvlJc w:val="left"/>
      <w:pPr>
        <w:ind w:left="3523" w:hanging="360"/>
      </w:pPr>
      <w:rPr>
        <w:rFonts w:hint="default"/>
        <w:lang w:val="en-gb" w:eastAsia="en-gb" w:bidi="en-gb"/>
      </w:rPr>
    </w:lvl>
    <w:lvl w:ilvl="4">
      <w:start w:val="0"/>
      <w:numFmt w:val="bullet"/>
      <w:lvlText w:val="•"/>
      <w:lvlJc w:val="left"/>
      <w:pPr>
        <w:ind w:left="4378" w:hanging="360"/>
      </w:pPr>
      <w:rPr>
        <w:rFonts w:hint="default"/>
        <w:lang w:val="en-gb" w:eastAsia="en-gb" w:bidi="en-gb"/>
      </w:rPr>
    </w:lvl>
    <w:lvl w:ilvl="5">
      <w:start w:val="0"/>
      <w:numFmt w:val="bullet"/>
      <w:lvlText w:val="•"/>
      <w:lvlJc w:val="left"/>
      <w:pPr>
        <w:ind w:left="5233" w:hanging="360"/>
      </w:pPr>
      <w:rPr>
        <w:rFonts w:hint="default"/>
        <w:lang w:val="en-gb" w:eastAsia="en-gb" w:bidi="en-gb"/>
      </w:rPr>
    </w:lvl>
    <w:lvl w:ilvl="6">
      <w:start w:val="0"/>
      <w:numFmt w:val="bullet"/>
      <w:lvlText w:val="•"/>
      <w:lvlJc w:val="left"/>
      <w:pPr>
        <w:ind w:left="6087" w:hanging="360"/>
      </w:pPr>
      <w:rPr>
        <w:rFonts w:hint="default"/>
        <w:lang w:val="en-gb" w:eastAsia="en-gb" w:bidi="en-gb"/>
      </w:rPr>
    </w:lvl>
    <w:lvl w:ilvl="7">
      <w:start w:val="0"/>
      <w:numFmt w:val="bullet"/>
      <w:lvlText w:val="•"/>
      <w:lvlJc w:val="left"/>
      <w:pPr>
        <w:ind w:left="6942" w:hanging="360"/>
      </w:pPr>
      <w:rPr>
        <w:rFonts w:hint="default"/>
        <w:lang w:val="en-gb" w:eastAsia="en-gb" w:bidi="en-gb"/>
      </w:rPr>
    </w:lvl>
    <w:lvl w:ilvl="8">
      <w:start w:val="0"/>
      <w:numFmt w:val="bullet"/>
      <w:lvlText w:val="•"/>
      <w:lvlJc w:val="left"/>
      <w:pPr>
        <w:ind w:left="7797" w:hanging="360"/>
      </w:pPr>
      <w:rPr>
        <w:rFonts w:hint="default"/>
        <w:lang w:val="en-gb" w:eastAsia="en-gb" w:bidi="en-gb"/>
      </w:rPr>
    </w:lvl>
  </w:abstract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TOC1" w:type="paragraph">
    <w:name w:val="TOC 1"/>
    <w:basedOn w:val="Normal"/>
    <w:uiPriority w:val="1"/>
    <w:qFormat/>
    <w:pPr>
      <w:spacing w:before="175"/>
      <w:ind w:left="114"/>
    </w:pPr>
    <w:rPr>
      <w:rFonts w:ascii="Arial" w:hAnsi="Arial" w:eastAsia="Arial" w:cs="Arial"/>
      <w:sz w:val="24"/>
      <w:szCs w:val="24"/>
      <w:lang w:val="en-gb" w:eastAsia="en-gb" w:bidi="en-gb"/>
    </w:rPr>
  </w:style>
  <w:style w:styleId="TOC2" w:type="paragraph">
    <w:name w:val="TOC 2"/>
    <w:basedOn w:val="Normal"/>
    <w:uiPriority w:val="1"/>
    <w:qFormat/>
    <w:pPr>
      <w:spacing w:before="175"/>
      <w:ind w:left="834"/>
    </w:pPr>
    <w:rPr>
      <w:rFonts w:ascii="Arial" w:hAnsi="Arial" w:eastAsia="Arial" w:cs="Arial"/>
      <w:sz w:val="24"/>
      <w:szCs w:val="24"/>
      <w:lang w:val="en-gb" w:eastAsia="en-gb" w:bidi="en-gb"/>
    </w:rPr>
  </w:style>
  <w:style w:styleId="TOC3" w:type="paragraph">
    <w:name w:val="TOC 3"/>
    <w:basedOn w:val="Normal"/>
    <w:uiPriority w:val="1"/>
    <w:qFormat/>
    <w:pPr>
      <w:spacing w:before="176"/>
      <w:ind w:left="834"/>
    </w:pPr>
    <w:rPr>
      <w:rFonts w:ascii="Arial" w:hAnsi="Arial" w:eastAsia="Arial" w:cs="Arial"/>
      <w:i/>
      <w:sz w:val="24"/>
      <w:szCs w:val="24"/>
      <w:lang w:val="en-gb" w:eastAsia="en-gb" w:bidi="en-gb"/>
    </w:rPr>
  </w:style>
  <w:style w:styleId="BodyText" w:type="paragraph">
    <w:name w:val="Body Text"/>
    <w:basedOn w:val="Normal"/>
    <w:uiPriority w:val="1"/>
    <w:qFormat/>
    <w:pPr/>
    <w:rPr>
      <w:rFonts w:ascii="Arial" w:hAnsi="Arial" w:eastAsia="Arial" w:cs="Arial"/>
      <w:sz w:val="24"/>
      <w:szCs w:val="24"/>
      <w:lang w:val="en-gb" w:eastAsia="en-gb" w:bidi="en-gb"/>
    </w:rPr>
  </w:style>
  <w:style w:styleId="Heading1" w:type="paragraph">
    <w:name w:val="Heading 1"/>
    <w:basedOn w:val="Normal"/>
    <w:uiPriority w:val="1"/>
    <w:qFormat/>
    <w:pPr>
      <w:spacing w:before="140"/>
      <w:ind w:left="114"/>
      <w:outlineLvl w:val="1"/>
    </w:pPr>
    <w:rPr>
      <w:rFonts w:ascii="Arial" w:hAnsi="Arial" w:eastAsia="Arial" w:cs="Arial"/>
      <w:b/>
      <w:bCs/>
      <w:sz w:val="36"/>
      <w:szCs w:val="36"/>
      <w:lang w:val="en-gb" w:eastAsia="en-gb" w:bidi="en-gb"/>
    </w:rPr>
  </w:style>
  <w:style w:styleId="Heading2" w:type="paragraph">
    <w:name w:val="Heading 2"/>
    <w:basedOn w:val="Normal"/>
    <w:uiPriority w:val="1"/>
    <w:qFormat/>
    <w:pPr>
      <w:spacing w:before="1"/>
      <w:ind w:left="114"/>
      <w:outlineLvl w:val="2"/>
    </w:pPr>
    <w:rPr>
      <w:rFonts w:ascii="Arial" w:hAnsi="Arial" w:eastAsia="Arial" w:cs="Arial"/>
      <w:b/>
      <w:bCs/>
      <w:sz w:val="32"/>
      <w:szCs w:val="32"/>
      <w:lang w:val="en-gb" w:eastAsia="en-gb" w:bidi="en-gb"/>
    </w:rPr>
  </w:style>
  <w:style w:styleId="Heading3" w:type="paragraph">
    <w:name w:val="Heading 3"/>
    <w:basedOn w:val="Normal"/>
    <w:uiPriority w:val="1"/>
    <w:qFormat/>
    <w:pPr>
      <w:spacing w:before="20"/>
      <w:ind w:left="60"/>
      <w:outlineLvl w:val="3"/>
    </w:pPr>
    <w:rPr>
      <w:rFonts w:ascii="Arial" w:hAnsi="Arial" w:eastAsia="Arial" w:cs="Arial"/>
      <w:b/>
      <w:bCs/>
      <w:sz w:val="28"/>
      <w:szCs w:val="28"/>
      <w:lang w:val="en-gb" w:eastAsia="en-gb" w:bidi="en-gb"/>
    </w:rPr>
  </w:style>
  <w:style w:styleId="Heading4" w:type="paragraph">
    <w:name w:val="Heading 4"/>
    <w:basedOn w:val="Normal"/>
    <w:uiPriority w:val="1"/>
    <w:qFormat/>
    <w:pPr>
      <w:spacing w:before="338"/>
      <w:ind w:right="871" w:hanging="912"/>
      <w:jc w:val="right"/>
      <w:outlineLvl w:val="4"/>
    </w:pPr>
    <w:rPr>
      <w:rFonts w:ascii="Palatino Linotype" w:hAnsi="Palatino Linotype" w:eastAsia="Palatino Linotype" w:cs="Palatino Linotype"/>
      <w:b/>
      <w:bCs/>
      <w:i/>
      <w:sz w:val="28"/>
      <w:szCs w:val="28"/>
      <w:lang w:val="en-gb" w:eastAsia="en-gb" w:bidi="en-gb"/>
    </w:rPr>
  </w:style>
  <w:style w:styleId="Heading5" w:type="paragraph">
    <w:name w:val="Heading 5"/>
    <w:basedOn w:val="Normal"/>
    <w:uiPriority w:val="1"/>
    <w:qFormat/>
    <w:pPr>
      <w:jc w:val="both"/>
      <w:outlineLvl w:val="5"/>
    </w:pPr>
    <w:rPr>
      <w:rFonts w:ascii="Palatino Linotype" w:hAnsi="Palatino Linotype" w:eastAsia="Palatino Linotype" w:cs="Palatino Linotype"/>
      <w:sz w:val="28"/>
      <w:szCs w:val="28"/>
      <w:lang w:val="en-gb" w:eastAsia="en-gb" w:bidi="en-gb"/>
    </w:rPr>
  </w:style>
  <w:style w:styleId="Heading6" w:type="paragraph">
    <w:name w:val="Heading 6"/>
    <w:basedOn w:val="Normal"/>
    <w:uiPriority w:val="1"/>
    <w:qFormat/>
    <w:pPr>
      <w:ind w:right="768"/>
      <w:jc w:val="right"/>
      <w:outlineLvl w:val="6"/>
    </w:pPr>
    <w:rPr>
      <w:rFonts w:ascii="Palatino Linotype" w:hAnsi="Palatino Linotype" w:eastAsia="Palatino Linotype" w:cs="Palatino Linotype"/>
      <w:i/>
      <w:sz w:val="28"/>
      <w:szCs w:val="28"/>
      <w:lang w:val="en-gb" w:eastAsia="en-gb" w:bidi="en-gb"/>
    </w:rPr>
  </w:style>
  <w:style w:styleId="Heading7" w:type="paragraph">
    <w:name w:val="Heading 7"/>
    <w:basedOn w:val="Normal"/>
    <w:uiPriority w:val="1"/>
    <w:qFormat/>
    <w:pPr>
      <w:spacing w:before="121"/>
      <w:ind w:left="440"/>
      <w:outlineLvl w:val="7"/>
    </w:pPr>
    <w:rPr>
      <w:rFonts w:ascii="Calibri Light" w:hAnsi="Calibri Light" w:eastAsia="Calibri Light" w:cs="Calibri Light"/>
      <w:sz w:val="26"/>
      <w:szCs w:val="26"/>
      <w:lang w:val="en-gb" w:eastAsia="en-gb" w:bidi="en-gb"/>
    </w:rPr>
  </w:style>
  <w:style w:styleId="Heading8" w:type="paragraph">
    <w:name w:val="Heading 8"/>
    <w:basedOn w:val="Normal"/>
    <w:uiPriority w:val="1"/>
    <w:qFormat/>
    <w:pPr>
      <w:spacing w:before="20"/>
      <w:ind w:left="20"/>
      <w:outlineLvl w:val="8"/>
    </w:pPr>
    <w:rPr>
      <w:rFonts w:ascii="Arial" w:hAnsi="Arial" w:eastAsia="Arial" w:cs="Arial"/>
      <w:b/>
      <w:bCs/>
      <w:sz w:val="24"/>
      <w:szCs w:val="24"/>
      <w:lang w:val="en-gb" w:eastAsia="en-gb" w:bidi="en-gb"/>
    </w:rPr>
  </w:style>
  <w:style w:styleId="ListParagraph" w:type="paragraph">
    <w:name w:val="List Paragraph"/>
    <w:basedOn w:val="Normal"/>
    <w:uiPriority w:val="1"/>
    <w:qFormat/>
    <w:pPr>
      <w:spacing w:before="240"/>
      <w:ind w:left="113"/>
    </w:pPr>
    <w:rPr>
      <w:rFonts w:ascii="Arial" w:hAnsi="Arial" w:eastAsia="Arial" w:cs="Arial"/>
      <w:lang w:val="en-gb" w:eastAsia="en-gb" w:bidi="en-gb"/>
    </w:rPr>
  </w:style>
  <w:style w:styleId="TableParagraph" w:type="paragraph">
    <w:name w:val="Table Paragraph"/>
    <w:basedOn w:val="Normal"/>
    <w:uiPriority w:val="1"/>
    <w:qFormat/>
    <w:pPr>
      <w:ind w:left="467"/>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6.jpeg"/><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mailto:office@tententheatre.co.uk" TargetMode="External"/><Relationship Id="rId20" Type="http://schemas.openxmlformats.org/officeDocument/2006/relationships/hyperlink" Target="https://www.tentenresources.co.uk/relationship-education-subscribers/relationship-education/" TargetMode="Externa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10.jpeg"/><Relationship Id="rId24" Type="http://schemas.openxmlformats.org/officeDocument/2006/relationships/header" Target="header5.xml"/><Relationship Id="rId25" Type="http://schemas.openxmlformats.org/officeDocument/2006/relationships/footer" Target="footer5.xml"/><Relationship Id="rId26" Type="http://schemas.openxmlformats.org/officeDocument/2006/relationships/hyperlink" Target="https://www.gov.uk/government/publications/keeping-children-safe-in-education--2" TargetMode="External"/><Relationship Id="rId27" Type="http://schemas.openxmlformats.org/officeDocument/2006/relationships/hyperlink" Target="http://educateagainsthate.com/download/36/" TargetMode="External"/><Relationship Id="rId28" Type="http://schemas.openxmlformats.org/officeDocument/2006/relationships/hyperlink" Target="https://www.gov.uk/government/publications/behaviour-and-discipline-in-schools" TargetMode="External"/><Relationship Id="rId29" Type="http://schemas.openxmlformats.org/officeDocument/2006/relationships/hyperlink" Target="https://www.gov.uk/government/publications/equality-act-2010-advice-for-schools" TargetMode="External"/><Relationship Id="rId30" Type="http://schemas.openxmlformats.org/officeDocument/2006/relationships/hyperlink" Target="https://www.gov.uk/government/publications/send-code-of-practice-0-to-25" TargetMode="External"/><Relationship Id="rId31" Type="http://schemas.openxmlformats.org/officeDocument/2006/relationships/hyperlink" Target="https://www.gov.uk/government/publications/alternative-provision" TargetMode="External"/><Relationship Id="rId32" Type="http://schemas.openxmlformats.org/officeDocument/2006/relationships/hyperlink" Target="https://www.gov.uk/government/publications/mental-health-and-behaviour-in-schools--2" TargetMode="External"/><Relationship Id="rId33" Type="http://schemas.openxmlformats.org/officeDocument/2006/relationships/hyperlink" Target="https://www.gov.uk/government/publications/preventing-and-tackling-bullying" TargetMode="External"/><Relationship Id="rId34" Type="http://schemas.openxmlformats.org/officeDocument/2006/relationships/hyperlink" Target="https://assets.publishing.service.gov.uk/government/uploads/system/uploads/attachment_data/file/374850/Cyberbullying_Advice_for_Headteachers_and_School_Staff_121114.pdf" TargetMode="External"/><Relationship Id="rId35" Type="http://schemas.openxmlformats.org/officeDocument/2006/relationships/hyperlink" Target="https://www.gov.uk/government/publications/sexual-violence-and-sexual-harassment-between-children-in-schools-and-colleges" TargetMode="External"/><Relationship Id="rId36" Type="http://schemas.openxmlformats.org/officeDocument/2006/relationships/hyperlink" Target="https://www.equalityhumanrights.com/en/advice-and-guidance/" TargetMode="External"/><Relationship Id="rId37" Type="http://schemas.openxmlformats.org/officeDocument/2006/relationships/hyperlink" Target="https://www.gov.uk/government/uploads/system/uploads/attachment_data/file/380595/SMSC_Guidance_Maintained_Schools.pdf" TargetMode="External"/><Relationship Id="rId38" Type="http://schemas.openxmlformats.org/officeDocument/2006/relationships/hyperlink" Target="https://www.gov.uk/government/publications/improving-the-smsc-development-of-pupils-in-independent-schools" TargetMode="External"/><Relationship Id="rId39" Type="http://schemas.openxmlformats.org/officeDocument/2006/relationships/hyperlink" Target="https://www.gov.uk/government/publications/national-citizen-service-guidance-for-schools-and-colleges" TargetMode="External"/><Relationship Id="rId40" Type="http://schemas.openxmlformats.org/officeDocument/2006/relationships/hyperlink" Target="https://campaignresources.phe.gov.uk/schools/topics/rise-above/overview?WT.mc_id=RiseAboveforSchools_PSHEA_EdComs_Resource_listing_Sep17" TargetMode="External"/><Relationship Id="rId41" Type="http://schemas.openxmlformats.org/officeDocument/2006/relationships/hyperlink" Target="https://www.pshe-association.org.uk/curriculum-and-resources/resources/rise-above-schools-teaching-resources" TargetMode="External"/><Relationship Id="rId42" Type="http://schemas.openxmlformats.org/officeDocument/2006/relationships/hyperlink" Target="https://assets.publishing.service.gov.uk/government/uploads/system/uploads/attachment_data/file/315587/Equality_Act_Advice_Final.pdf" TargetMode="External"/><Relationship Id="rId43" Type="http://schemas.openxmlformats.org/officeDocument/2006/relationships/hyperlink" Target="https://www.gov.uk/government/publications/public-sector-equality-duty" TargetMode="External"/><Relationship Id="rId44" Type="http://schemas.openxmlformats.org/officeDocument/2006/relationships/header" Target="header6.xml"/><Relationship Id="rId45" Type="http://schemas.openxmlformats.org/officeDocument/2006/relationships/footer" Target="footer6.xml"/><Relationship Id="rId46" Type="http://schemas.openxmlformats.org/officeDocument/2006/relationships/hyperlink" Target="https://www.pshe-association.org.uk/system/files/Mental%20health%20guidance_0.pdf" TargetMode="External"/><Relationship Id="rId47" Type="http://schemas.openxmlformats.org/officeDocument/2006/relationships/header" Target="header7.xml"/><Relationship Id="rId48" Type="http://schemas.openxmlformats.org/officeDocument/2006/relationships/footer" Target="footer7.xml"/><Relationship Id="rId49" Type="http://schemas.openxmlformats.org/officeDocument/2006/relationships/header" Target="header8.xml"/><Relationship Id="rId50" Type="http://schemas.openxmlformats.org/officeDocument/2006/relationships/footer" Target="footer8.xml"/><Relationship Id="rId51" Type="http://schemas.openxmlformats.org/officeDocument/2006/relationships/hyperlink" Target="https://www.nspcc.org.uk/preventing-abuse/keeping-children-safe/underwear-rule/underwear-rule-schools-teaching-resources/" TargetMode="External"/><Relationship Id="rId52" Type="http://schemas.openxmlformats.org/officeDocument/2006/relationships/hyperlink" Target="http://catholiceducation.org.uk/schools/relationship-" TargetMode="External"/><Relationship Id="rId53" Type="http://schemas.openxmlformats.org/officeDocument/2006/relationships/hyperlink" Target="https://sexwise.fpa.org.uk/" TargetMode="External"/><Relationship Id="rId54" Type="http://schemas.openxmlformats.org/officeDocument/2006/relationships/hyperlink" Target="https://www.pshe-association.org.uk/curriculum-and-resources/resources/disrespect-nobody-teaching-resources-preventing" TargetMode="External"/><Relationship Id="rId55" Type="http://schemas.openxmlformats.org/officeDocument/2006/relationships/hyperlink" Target="https://www.pshe-association.org.uk/curriculum-and-resources/resources/guidance-teaching-about-consent-pshe-education-key" TargetMode="External"/><Relationship Id="rId56" Type="http://schemas.openxmlformats.org/officeDocument/2006/relationships/hyperlink" Target="https://www.stonewall.org.uk/get-involved/education/different-families-same-love" TargetMode="External"/><Relationship Id="rId57" Type="http://schemas.openxmlformats.org/officeDocument/2006/relationships/hyperlink" Target="https://www.pshe-association.org.uk/curriculum-and-resources/resources/guidance-preparing-teach-about-mental-health-and" TargetMode="External"/><Relationship Id="rId58" Type="http://schemas.openxmlformats.org/officeDocument/2006/relationships/hyperlink" Target="http://www.minded.org.uk/" TargetMode="External"/><Relationship Id="rId59" Type="http://schemas.openxmlformats.org/officeDocument/2006/relationships/hyperlink" Target="https://assets.publishing.service.gov.uk/government/uploads/system/uploads/attachment_data/file/683895/Education_for_a_connected_world_PDF.PDF" TargetMode="External"/><Relationship Id="rId60" Type="http://schemas.openxmlformats.org/officeDocument/2006/relationships/hyperlink" Target="https://www.gov.uk/government/groups/uk-council-for-child-internet-safety-ukccis" TargetMode="External"/><Relationship Id="rId61" Type="http://schemas.openxmlformats.org/officeDocument/2006/relationships/hyperlink" Target="https://www.thinkuknow.co.uk/" TargetMode="External"/><Relationship Id="rId62" Type="http://schemas.openxmlformats.org/officeDocument/2006/relationships/hyperlink" Target="https://www.pshe-association.org.uk/curriculum-and-resources/resources/programme-study-pshe-education-key-stages-1%E2%80%935" TargetMode="External"/><Relationship Id="rId63" Type="http://schemas.openxmlformats.org/officeDocument/2006/relationships/hyperlink" Target="http://mentor-adepis.org/planning-effective-education/" TargetMode="External"/><Relationship Id="rId64" Type="http://schemas.openxmlformats.org/officeDocument/2006/relationships/hyperlink" Target="http://www.educateagainsthate.com/" TargetMode="External"/><Relationship Id="rId65" Type="http://schemas.openxmlformats.org/officeDocument/2006/relationships/hyperlink" Target="https://www.gov.uk/government/uploads/system/uploads/attachment_data/file/402173/Programme_of_Study_KS1_and_2.pdf" TargetMode="External"/><Relationship Id="rId66" Type="http://schemas.openxmlformats.org/officeDocument/2006/relationships/hyperlink" Target="https://fingertips.phe.org.uk/profile-group/child-health" TargetMode="External"/><Relationship Id="rId67" Type="http://schemas.openxmlformats.org/officeDocument/2006/relationships/hyperlink" Target="https://fingertips.phe.org.uk/profile-group/child-health/profile/child-health-overview/data%23page/13" TargetMode="External"/><Relationship Id="rId68" Type="http://schemas.openxmlformats.org/officeDocument/2006/relationships/hyperlink" Target="https://fingertips.phe.org.uk/profile-group/child-health/profile/child-health-school-age" TargetMode="External"/><Relationship Id="rId69" Type="http://schemas.openxmlformats.org/officeDocument/2006/relationships/hyperlink" Target="https://fingertips.phe.org.uk/profile-group/child-health/profile/child-health-young-people" TargetMode="External"/><Relationship Id="rId70" Type="http://schemas.openxmlformats.org/officeDocument/2006/relationships/hyperlink" Target="https://fingertips.phe.org.uk/profile-group/child-health/profile/child-health-early-years" TargetMode="External"/><Relationship Id="rId71" Type="http://schemas.openxmlformats.org/officeDocument/2006/relationships/hyperlink" Target="https://assets.publishing.service.gov.uk/government/uploads/system/uploads/attachment_data/file/664855/Transforming_children_and_young_people_s_mental_health_provision.pdf" TargetMode="External"/><Relationship Id="rId72" Type="http://schemas.openxmlformats.org/officeDocument/2006/relationships/hyperlink" Target="https://www.gov.uk/government/publications/drug-strategy-2017" TargetMode="External"/><Relationship Id="rId73" Type="http://schemas.openxmlformats.org/officeDocument/2006/relationships/hyperlink" Target="https://assets.publishing.service.gov.uk/government/uploads/system/uploads/attachment_data/file/650949/Internet_Safety_Strategy_green_paper.pdf" TargetMode="External"/><Relationship Id="rId74" Type="http://schemas.openxmlformats.org/officeDocument/2006/relationships/hyperlink" Target="https://www.childrenscommissioner.gov.uk/2017/08/06/digital-5-a-day/" TargetMode="External"/><Relationship Id="rId75" Type="http://schemas.openxmlformats.org/officeDocument/2006/relationships/hyperlink" Target="https://www.gov.uk/government/publications/childhood-obesity-a-plan-for-action/childhood-obesity-a-plan-for-action" TargetMode="External"/><Relationship Id="rId76" Type="http://schemas.openxmlformats.org/officeDocument/2006/relationships/hyperlink" Target="https://www.gov.uk/government/publications/uk-physical-activity-guidelines" TargetMode="External"/><Relationship Id="rId77" Type="http://schemas.openxmlformats.org/officeDocument/2006/relationships/hyperlink" Target="https://assets.publishing.service.gov.uk/government/uploads/system/uploads/attachment_data/file/708932/teenage_pregnancy_prevention_framework.pdf" TargetMode="External"/><Relationship Id="rId78" Type="http://schemas.openxmlformats.org/officeDocument/2006/relationships/hyperlink" Target="https://www.gov.uk/government/publications/a-framework-for-sexual-health-improvement-in-england" TargetMode="External"/><Relationship Id="rId79" Type="http://schemas.openxmlformats.org/officeDocument/2006/relationships/hyperlink" Target="https://www.gov.uk/government/publications/reproductive-health-what-women-say" TargetMode="External"/><Relationship Id="rId80" Type="http://schemas.openxmlformats.org/officeDocument/2006/relationships/hyperlink" Target="https://www.gov.uk/government/publications/a-connected-society-a-strategy-for-tackling-loneliness" TargetMode="External"/><Relationship Id="rId81" Type="http://schemas.openxmlformats.org/officeDocument/2006/relationships/image" Target="media/image11.jpeg"/><Relationship Id="rId82" Type="http://schemas.openxmlformats.org/officeDocument/2006/relationships/hyperlink" Target="http://www.nationalarchives.gov.uk/doc/open-government-licence/version/3/" TargetMode="External"/><Relationship Id="rId83" Type="http://schemas.openxmlformats.org/officeDocument/2006/relationships/hyperlink" Target="mailto:psi@nationalarchives.gsi.gov.uk" TargetMode="External"/><Relationship Id="rId84" Type="http://schemas.openxmlformats.org/officeDocument/2006/relationships/image" Target="media/image12.png"/><Relationship Id="rId85" Type="http://schemas.openxmlformats.org/officeDocument/2006/relationships/hyperlink" Target="http://www.education.gov.uk/contactus" TargetMode="External"/><Relationship Id="rId86" Type="http://schemas.openxmlformats.org/officeDocument/2006/relationships/hyperlink" Target="https://www.gov.uk/government/publications?keywords&amp;publication_filter_option=all&amp;departments%5B%5D=department-for-education&amp;commit=Refresh%2Bresults" TargetMode="External"/><Relationship Id="rId87" Type="http://schemas.openxmlformats.org/officeDocument/2006/relationships/image" Target="media/image13.png"/><Relationship Id="rId88" Type="http://schemas.openxmlformats.org/officeDocument/2006/relationships/hyperlink" Target="http://twitter.com/educationgovuk" TargetMode="External"/><Relationship Id="rId89" Type="http://schemas.openxmlformats.org/officeDocument/2006/relationships/hyperlink" Target="http://www.facebook.com/educationgovuk" TargetMode="External"/><Relationship Id="rId90" Type="http://schemas.openxmlformats.org/officeDocument/2006/relationships/header" Target="header9.xml"/><Relationship Id="rId91" Type="http://schemas.openxmlformats.org/officeDocument/2006/relationships/footer" Target="footer9.xml"/><Relationship Id="rId92" Type="http://schemas.openxmlformats.org/officeDocument/2006/relationships/image" Target="media/image1.jpeg"/><Relationship Id="rId93" Type="http://schemas.openxmlformats.org/officeDocument/2006/relationships/header" Target="header10.xml"/><Relationship Id="rId94" Type="http://schemas.openxmlformats.org/officeDocument/2006/relationships/footer" Target="footer10.xml"/><Relationship Id="rId95" Type="http://schemas.openxmlformats.org/officeDocument/2006/relationships/image" Target="media/image14.png"/><Relationship Id="rId96" Type="http://schemas.openxmlformats.org/officeDocument/2006/relationships/header" Target="header11.xml"/><Relationship Id="rId97" Type="http://schemas.openxmlformats.org/officeDocument/2006/relationships/footer" Target="footer11.xml"/><Relationship Id="rId98" Type="http://schemas.openxmlformats.org/officeDocument/2006/relationships/header" Target="header12.xml"/><Relationship Id="rId99" Type="http://schemas.openxmlformats.org/officeDocument/2006/relationships/footer" Target="footer12.xml"/><Relationship Id="rId100" Type="http://schemas.openxmlformats.org/officeDocument/2006/relationships/header" Target="header13.xml"/><Relationship Id="rId101" Type="http://schemas.openxmlformats.org/officeDocument/2006/relationships/footer" Target="footer13.xml"/><Relationship Id="rId102" Type="http://schemas.openxmlformats.org/officeDocument/2006/relationships/header" Target="header14.xml"/><Relationship Id="rId103" Type="http://schemas.openxmlformats.org/officeDocument/2006/relationships/footer" Target="footer14.xml"/><Relationship Id="rId104" Type="http://schemas.openxmlformats.org/officeDocument/2006/relationships/header" Target="header15.xml"/><Relationship Id="rId105" Type="http://schemas.openxmlformats.org/officeDocument/2006/relationships/footer" Target="footer15.xml"/><Relationship Id="rId106" Type="http://schemas.openxmlformats.org/officeDocument/2006/relationships/header" Target="header16.xml"/><Relationship Id="rId107" Type="http://schemas.openxmlformats.org/officeDocument/2006/relationships/footer" Target="footer16.xml"/><Relationship Id="rId108" Type="http://schemas.openxmlformats.org/officeDocument/2006/relationships/header" Target="header17.xml"/><Relationship Id="rId109" Type="http://schemas.openxmlformats.org/officeDocument/2006/relationships/footer" Target="footer17.xml"/><Relationship Id="rId110" Type="http://schemas.openxmlformats.org/officeDocument/2006/relationships/header" Target="header18.xml"/><Relationship Id="rId111" Type="http://schemas.openxmlformats.org/officeDocument/2006/relationships/footer" Target="footer18.xml"/><Relationship Id="rId112" Type="http://schemas.openxmlformats.org/officeDocument/2006/relationships/header" Target="header19.xml"/><Relationship Id="rId113" Type="http://schemas.openxmlformats.org/officeDocument/2006/relationships/footer" Target="footer19.xml"/><Relationship Id="rId114" Type="http://schemas.openxmlformats.org/officeDocument/2006/relationships/header" Target="header20.xml"/><Relationship Id="rId115" Type="http://schemas.openxmlformats.org/officeDocument/2006/relationships/footer" Target="footer20.xml"/><Relationship Id="rId116" Type="http://schemas.openxmlformats.org/officeDocument/2006/relationships/image" Target="media/image15.jpeg"/><Relationship Id="rId117" Type="http://schemas.openxmlformats.org/officeDocument/2006/relationships/header" Target="header21.xml"/><Relationship Id="rId118" Type="http://schemas.openxmlformats.org/officeDocument/2006/relationships/footer" Target="footer21.xml"/><Relationship Id="rId119" Type="http://schemas.openxmlformats.org/officeDocument/2006/relationships/header" Target="header22.xml"/><Relationship Id="rId120" Type="http://schemas.openxmlformats.org/officeDocument/2006/relationships/footer" Target="footer22.xml"/><Relationship Id="rId121" Type="http://schemas.openxmlformats.org/officeDocument/2006/relationships/header" Target="header23.xml"/><Relationship Id="rId122" Type="http://schemas.openxmlformats.org/officeDocument/2006/relationships/footer" Target="footer23.xml"/><Relationship Id="rId123" Type="http://schemas.openxmlformats.org/officeDocument/2006/relationships/header" Target="header24.xml"/><Relationship Id="rId124" Type="http://schemas.openxmlformats.org/officeDocument/2006/relationships/footer" Target="footer24.xml"/><Relationship Id="rId125" Type="http://schemas.openxmlformats.org/officeDocument/2006/relationships/header" Target="header25.xml"/><Relationship Id="rId126" Type="http://schemas.openxmlformats.org/officeDocument/2006/relationships/footer" Target="footer25.xml"/><Relationship Id="rId127" Type="http://schemas.openxmlformats.org/officeDocument/2006/relationships/header" Target="header26.xml"/><Relationship Id="rId128" Type="http://schemas.openxmlformats.org/officeDocument/2006/relationships/footer" Target="footer26.xml"/><Relationship Id="rId129" Type="http://schemas.openxmlformats.org/officeDocument/2006/relationships/image" Target="media/image16.jpeg"/><Relationship Id="rId130" Type="http://schemas.openxmlformats.org/officeDocument/2006/relationships/header" Target="header27.xml"/><Relationship Id="rId131" Type="http://schemas.openxmlformats.org/officeDocument/2006/relationships/footer" Target="footer27.xml"/><Relationship Id="rId132" Type="http://schemas.openxmlformats.org/officeDocument/2006/relationships/header" Target="header28.xml"/><Relationship Id="rId133" Type="http://schemas.openxmlformats.org/officeDocument/2006/relationships/footer" Target="footer28.xml"/><Relationship Id="rId134" Type="http://schemas.openxmlformats.org/officeDocument/2006/relationships/header" Target="header29.xml"/><Relationship Id="rId135" Type="http://schemas.openxmlformats.org/officeDocument/2006/relationships/footer" Target="footer29.xml"/><Relationship Id="rId136" Type="http://schemas.openxmlformats.org/officeDocument/2006/relationships/header" Target="header30.xml"/><Relationship Id="rId137" Type="http://schemas.openxmlformats.org/officeDocument/2006/relationships/footer" Target="footer30.xml"/><Relationship Id="rId138" Type="http://schemas.openxmlformats.org/officeDocument/2006/relationships/header" Target="header31.xml"/><Relationship Id="rId139" Type="http://schemas.openxmlformats.org/officeDocument/2006/relationships/footer" Target="footer31.xml"/><Relationship Id="rId140" Type="http://schemas.openxmlformats.org/officeDocument/2006/relationships/image" Target="media/image17.jpeg"/><Relationship Id="rId141" Type="http://schemas.openxmlformats.org/officeDocument/2006/relationships/header" Target="header32.xml"/><Relationship Id="rId142" Type="http://schemas.openxmlformats.org/officeDocument/2006/relationships/footer" Target="footer32.xml"/><Relationship Id="rId143" Type="http://schemas.openxmlformats.org/officeDocument/2006/relationships/header" Target="header33.xml"/><Relationship Id="rId144" Type="http://schemas.openxmlformats.org/officeDocument/2006/relationships/footer" Target="footer33.xml"/><Relationship Id="rId145" Type="http://schemas.openxmlformats.org/officeDocument/2006/relationships/header" Target="header34.xml"/><Relationship Id="rId146" Type="http://schemas.openxmlformats.org/officeDocument/2006/relationships/footer" Target="footer34.xml"/><Relationship Id="rId147" Type="http://schemas.openxmlformats.org/officeDocument/2006/relationships/header" Target="header35.xml"/><Relationship Id="rId148" Type="http://schemas.openxmlformats.org/officeDocument/2006/relationships/footer" Target="footer35.xml"/><Relationship Id="rId149" Type="http://schemas.openxmlformats.org/officeDocument/2006/relationships/header" Target="header36.xml"/><Relationship Id="rId150" Type="http://schemas.openxmlformats.org/officeDocument/2006/relationships/footer" Target="footer36.xml"/><Relationship Id="rId151" Type="http://schemas.openxmlformats.org/officeDocument/2006/relationships/header" Target="header37.xml"/><Relationship Id="rId152" Type="http://schemas.openxmlformats.org/officeDocument/2006/relationships/footer" Target="footer37.xml"/><Relationship Id="rId153" Type="http://schemas.openxmlformats.org/officeDocument/2006/relationships/image" Target="media/image18.jpeg"/><Relationship Id="rId154" Type="http://schemas.openxmlformats.org/officeDocument/2006/relationships/header" Target="header38.xml"/><Relationship Id="rId155" Type="http://schemas.openxmlformats.org/officeDocument/2006/relationships/footer" Target="footer38.xml"/><Relationship Id="rId156" Type="http://schemas.openxmlformats.org/officeDocument/2006/relationships/header" Target="header39.xml"/><Relationship Id="rId157" Type="http://schemas.openxmlformats.org/officeDocument/2006/relationships/footer" Target="footer39.xml"/><Relationship Id="rId158" Type="http://schemas.openxmlformats.org/officeDocument/2006/relationships/image" Target="media/image19.jpeg"/><Relationship Id="rId159" Type="http://schemas.openxmlformats.org/officeDocument/2006/relationships/header" Target="header40.xml"/><Relationship Id="rId160" Type="http://schemas.openxmlformats.org/officeDocument/2006/relationships/footer" Target="footer40.xml"/><Relationship Id="rId161" Type="http://schemas.openxmlformats.org/officeDocument/2006/relationships/header" Target="header41.xml"/><Relationship Id="rId162" Type="http://schemas.openxmlformats.org/officeDocument/2006/relationships/footer" Target="footer41.xml"/><Relationship Id="rId163" Type="http://schemas.openxmlformats.org/officeDocument/2006/relationships/header" Target="header42.xml"/><Relationship Id="rId164" Type="http://schemas.openxmlformats.org/officeDocument/2006/relationships/footer" Target="footer42.xml"/><Relationship Id="rId165" Type="http://schemas.openxmlformats.org/officeDocument/2006/relationships/image" Target="media/image20.jpeg"/><Relationship Id="rId166" Type="http://schemas.openxmlformats.org/officeDocument/2006/relationships/header" Target="header43.xml"/><Relationship Id="rId167" Type="http://schemas.openxmlformats.org/officeDocument/2006/relationships/footer" Target="footer43.xml"/><Relationship Id="rId168" Type="http://schemas.openxmlformats.org/officeDocument/2006/relationships/header" Target="header44.xml"/><Relationship Id="rId169" Type="http://schemas.openxmlformats.org/officeDocument/2006/relationships/footer" Target="footer44.xml"/><Relationship Id="rId170" Type="http://schemas.openxmlformats.org/officeDocument/2006/relationships/header" Target="header45.xml"/><Relationship Id="rId171" Type="http://schemas.openxmlformats.org/officeDocument/2006/relationships/footer" Target="footer45.xml"/><Relationship Id="rId172" Type="http://schemas.openxmlformats.org/officeDocument/2006/relationships/header" Target="header46.xml"/><Relationship Id="rId173" Type="http://schemas.openxmlformats.org/officeDocument/2006/relationships/footer" Target="footer46.xml"/><Relationship Id="rId174" Type="http://schemas.openxmlformats.org/officeDocument/2006/relationships/header" Target="header47.xml"/><Relationship Id="rId175" Type="http://schemas.openxmlformats.org/officeDocument/2006/relationships/footer" Target="footer47.xml"/><Relationship Id="rId176" Type="http://schemas.openxmlformats.org/officeDocument/2006/relationships/image" Target="media/image21.jpeg"/><Relationship Id="rId177" Type="http://schemas.openxmlformats.org/officeDocument/2006/relationships/image" Target="media/image22.png"/><Relationship Id="rId17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O'Brien</dc:creator>
  <dcterms:created xsi:type="dcterms:W3CDTF">2021-01-18T09:36:27Z</dcterms:created>
  <dcterms:modified xsi:type="dcterms:W3CDTF">2021-01-18T09:36:27Z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2019-06-11T00:00:00Z</vt:filetime>
  </property>
  <property fmtid="{D5CDD505-2E9C-101B-9397-08002B2CF9AE}" pid="3" name="Creator">
    <vt:lpwstr>Acrobat PDFMaker 19 for Word</vt:lpwstr>
  </property>
  <property fmtid="{D5CDD505-2E9C-101B-9397-08002B2CF9AE}" pid="4" name="LastSaved">
    <vt:filetime>2021-01-18T00:00:00Z</vt:filetime>
  </property>
</Properties>
</file>